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澄江市202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年“三公”经费预算安排</w:t>
      </w:r>
    </w:p>
    <w:p>
      <w:pPr>
        <w:ind w:firstLine="3960" w:firstLineChars="900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情况说明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根据《中华人民共和国预算法》及《财政部关于深入推进地方预决算公开工作文件的通知》文件要求，澄江市202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 “三公”经费预算财政拨款安排情况如下：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一、2022年预算安排情况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510"/>
        <w:gridCol w:w="160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项目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202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年  预算数（万元）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年  预算数（万元）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年预算比20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年预算增减数（万元）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合   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67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672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  <w:t>1.因公出国（境）费用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  <w:t>2.公务接待费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218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218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  <w:t>3.公务用车费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454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  <w:t>其中：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公务用车运行维护费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394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  <w:t xml:space="preserve">     公务用车购置费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6"/>
                <w:kern w:val="0"/>
                <w:sz w:val="32"/>
                <w:szCs w:val="32"/>
                <w:highlight w:val="none"/>
                <w:shd w:val="clear" w:color="auto" w:fill="FFFFFF"/>
              </w:rPr>
              <w:t>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二、“三公”经费口径说明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1.按照党中央、国务院有关文件及规定，“三公”经费包括：因公出国（境）费、公务用车购置及运行维护费、公务接待费。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2.“三公”经费预算数是指各部门（含下属单位）从年初预算安排用于因公出国（境）费用、公务用车购置及运行维护费、公务接待费用的预算数（包括基本支出和项目支出）。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3.使用市级财政拨款安排“三公”经费的部门均在澄江市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人民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政府网站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“部门预决算”专栏下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公开，如需了解具体情况，可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到网站查看或与</w:t>
      </w:r>
      <w:bookmarkStart w:id="0" w:name="_GoBack"/>
      <w:bookmarkEnd w:id="0"/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部门直接联系。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三、“三公”经费增减变化原因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为认真贯彻落实各级政府必须真正过“紧日子”、大力压减非急需非刚性支出的要求，进一步做好因公出国（境）费、公务用车购置及运行维护费、公务接待费预算管理工作，按照《云南省财政关于进一步做好“三公”经费预算管理工作的通知》（云财行〔2020〕302号）文件要求，我市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严控“三公”经费支出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，202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年“三公”经费预算数为67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672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元比较无增减变化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，其中公务接待费218万元，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比较无增减变化；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公务用车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购置及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运行费45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万元，比202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年的4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54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元比较无增减变化（公务用车购置费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比202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元增加60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主要是2022年部门有公务用车购置的预算，公务用车运行费比2021年的454万元减少60万元，主要原因为严格执行中央八项规定，严控三公经费支出）；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因公出国（境）费202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年和202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年预算均为0万元。</w:t>
      </w: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ind w:firstLine="5440" w:firstLineChars="1700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澄江市财政局</w:t>
      </w:r>
    </w:p>
    <w:p>
      <w:pPr>
        <w:ind w:firstLine="5120" w:firstLineChars="1600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A"/>
    <w:rsid w:val="0006008F"/>
    <w:rsid w:val="000812CD"/>
    <w:rsid w:val="001039BE"/>
    <w:rsid w:val="00152E36"/>
    <w:rsid w:val="00194F87"/>
    <w:rsid w:val="001C5094"/>
    <w:rsid w:val="00211B6A"/>
    <w:rsid w:val="00223450"/>
    <w:rsid w:val="00265C54"/>
    <w:rsid w:val="00281BE4"/>
    <w:rsid w:val="002C33A1"/>
    <w:rsid w:val="002D3BD2"/>
    <w:rsid w:val="002D7601"/>
    <w:rsid w:val="002F5067"/>
    <w:rsid w:val="00311F96"/>
    <w:rsid w:val="00316197"/>
    <w:rsid w:val="00345011"/>
    <w:rsid w:val="00394AA8"/>
    <w:rsid w:val="003A4D2F"/>
    <w:rsid w:val="003B4D24"/>
    <w:rsid w:val="0040309E"/>
    <w:rsid w:val="00420B13"/>
    <w:rsid w:val="00422A45"/>
    <w:rsid w:val="00432C5F"/>
    <w:rsid w:val="004569D9"/>
    <w:rsid w:val="00480B9D"/>
    <w:rsid w:val="0048328E"/>
    <w:rsid w:val="004C4A7D"/>
    <w:rsid w:val="004F52F1"/>
    <w:rsid w:val="00554C5B"/>
    <w:rsid w:val="005579DC"/>
    <w:rsid w:val="00581A1B"/>
    <w:rsid w:val="005A4560"/>
    <w:rsid w:val="006154F6"/>
    <w:rsid w:val="00683C02"/>
    <w:rsid w:val="00695022"/>
    <w:rsid w:val="007315CA"/>
    <w:rsid w:val="00791ADD"/>
    <w:rsid w:val="007B0067"/>
    <w:rsid w:val="007C6E30"/>
    <w:rsid w:val="007F58F5"/>
    <w:rsid w:val="00843C97"/>
    <w:rsid w:val="0088304D"/>
    <w:rsid w:val="008F37ED"/>
    <w:rsid w:val="00950D95"/>
    <w:rsid w:val="0098247A"/>
    <w:rsid w:val="00994175"/>
    <w:rsid w:val="009B0C86"/>
    <w:rsid w:val="009C1E05"/>
    <w:rsid w:val="009C2A5C"/>
    <w:rsid w:val="00A01CE3"/>
    <w:rsid w:val="00A04477"/>
    <w:rsid w:val="00A272B6"/>
    <w:rsid w:val="00A41D2B"/>
    <w:rsid w:val="00A6493A"/>
    <w:rsid w:val="00AD1444"/>
    <w:rsid w:val="00AD7718"/>
    <w:rsid w:val="00AE5AAE"/>
    <w:rsid w:val="00B2772A"/>
    <w:rsid w:val="00B53A6E"/>
    <w:rsid w:val="00B83598"/>
    <w:rsid w:val="00B918E7"/>
    <w:rsid w:val="00BC0506"/>
    <w:rsid w:val="00C532C9"/>
    <w:rsid w:val="00C64E90"/>
    <w:rsid w:val="00C66EC2"/>
    <w:rsid w:val="00C817E3"/>
    <w:rsid w:val="00CB3F0A"/>
    <w:rsid w:val="00CF7A1E"/>
    <w:rsid w:val="00D22522"/>
    <w:rsid w:val="00D61ABA"/>
    <w:rsid w:val="00E60A29"/>
    <w:rsid w:val="00E90963"/>
    <w:rsid w:val="00EA4627"/>
    <w:rsid w:val="00EE2314"/>
    <w:rsid w:val="00F86F36"/>
    <w:rsid w:val="00FF24CF"/>
    <w:rsid w:val="05870F8A"/>
    <w:rsid w:val="133451F2"/>
    <w:rsid w:val="19DD27C2"/>
    <w:rsid w:val="23551532"/>
    <w:rsid w:val="271531A3"/>
    <w:rsid w:val="305E1615"/>
    <w:rsid w:val="3FDC0876"/>
    <w:rsid w:val="40C50748"/>
    <w:rsid w:val="4AEE6786"/>
    <w:rsid w:val="579F2BFF"/>
    <w:rsid w:val="58D46551"/>
    <w:rsid w:val="5EEF3443"/>
    <w:rsid w:val="62412666"/>
    <w:rsid w:val="669C42F3"/>
    <w:rsid w:val="6B746B10"/>
    <w:rsid w:val="7276666A"/>
    <w:rsid w:val="798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95C86-1A9C-4687-8C07-3984F7950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2016-02-01T08:09:00Z</dcterms:created>
  <dc:creator>鲁砚波</dc:creator>
  <cp:lastModifiedBy>殷妹</cp:lastModifiedBy>
  <cp:lastPrinted>2020-06-08T08:02:00Z</cp:lastPrinted>
  <dcterms:modified xsi:type="dcterms:W3CDTF">2022-01-25T07:38:48Z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