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年澄江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财政收支预算执行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变动情况说明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澄江市人民代表大会常务委员会关于批准澄江市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2021年市本级财政决算的决议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》（澄人发〔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对澄江市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2021年市本级财政决算和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关于澄江市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2021年财政决算情况的报告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的批复情况，现将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2021年澄江市财政收支预算执行变动情况作如下说明：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一、2021年澄江市公共财政预算收入情况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75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一般公共预算收入完成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90,258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万元，完成年初预算数的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98.62%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，比上年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决算数增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加10,673万元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，增长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13.41%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。其中：税收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收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入完成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66,562万元，比上年决算数增加7,915万元，增长13.50%；非税收入完成23,696万元，比上年决算数增加2,758万元，增长13.17%。受房地产公司缴纳契税、房产税及房地产项目缴纳土地增值税影响，导致契税同比增加7,883万元、房产税同比增加621万元、土地增值税同比增加3,847万元；今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烤烟种植提质增量导致烟叶税同比增加308万元；吉宝商贸等公司石灰石矿产税收同比增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149万元、磷矿税收同比增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52万元，导致资源税同比增加265万元；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但是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今年土地收储无指标导致耕地占用税同比减少2,416万元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。非税收入方面今年加大存量资产（资源）盘活力度，有效发挥对财政增收促进作用。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澄江市天颐城市投资有限公司上缴售房款、公租房租金及车位费等同比增加4,247万元；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砂石料厂、凤麓农贸市场、九村及禄充污水处理厂资产处置收入入库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2,800万元；但是今年因人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防办上缴的防空地下行政事业性收费同比减少3,425万元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，导致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 xml:space="preserve">行政事业性收费收入同比减少4,292万元。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增减变动情况为：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增值税收入决算数为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17,075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万元，比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2020年决算数减少2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012万元，下降10.54%；企业所得税收入决算数为1,701万元，比2020年决算数减少131万元，下降7.15%；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个人所得税收入决算数为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665万元，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2020年决算数减少532万元，下降44.44%；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房产税收入决算数为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2,245万元，比2020年决算数增加621万元，增长38.24%；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契税收入决算数为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17,514万元，比2020年决算数增加7,883万元，增长81.85%；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资源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税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收入决算数为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423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2020年决算数增加265万元，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167.72%；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土地增值税收入决算数为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14,863万元，比2020年决算数增加3,847万元，增长34.92%；耕地占用税收入决算数为216万元，比2020年决算数减少2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416万元，下降91.79%；烟叶税收入决算数为5,120万元，比2020年决算数增加308万元，增长6.40%。国有资源（资产）有偿使用费收入决算数为16,705万元，比2020年决算数增加9,753万元，增长140.29%；行政事业性收费收入决算数为1,638万元，比2020年决算数减少4,292万元，下降72.38%；罚没收入决算数为1,975万元，比2020年决算数减少142万元，下降6.71%，政府住房基金收入决算数为822万元，比2020年决算数减少3,169万元，下降79.40%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二、2021年澄江市公共财政预算支出情况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105" w:leftChars="50" w:right="0" w:rightChars="0"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一般公共预算支出完成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234,349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万元，完成年初预算数的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62.64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%，比上年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363,235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128,886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35.48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%。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受土地出让收入断崖式减收的影响，支出严重滞后，一般公共预算支出同比减幅较大。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105" w:leftChars="50" w:right="0" w:rightChars="0"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增减变动情况为：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节能环保支出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33,229万元，比2020年决算数减少53,881万元，下降61.85%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原因是：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去年同期拨付抚仙湖径流区土地休耕轮作项目省级专项资金22,505万元和森林抚仙湖建设项目资金30,110万元，而今年同期该项目无支出；住房保障支出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17,823万元，比2020年决算数减少49,121万元，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73.38%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去年同期增加了棚户区改造资金34,489万元、保障性安居工程资金13,845万元及农村危房改造资金1,050万元；卫生健康支出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16,827万元，比2020年决算数减少18,683万元，下降52.61%，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去年同期增加了中山大学澄江医院建设项目资金15,300万元、基本医疗保险基金补助1,502万元及公共卫生支出846万元等；科学技术支出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916万元，比2020年决算数减少8,247万元，下降90.03%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去年同期列支了部分预拨经费8,517万元；文化旅游体育与传媒支出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2,914万元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2020年决算数减少3,362万元，下降53.57%，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原因是：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去年同期拨付央视抚仙湖主题宣传费1,420万元和中国抚仙湖灯会政府购买服务费960万元；自然资源海洋气象等支出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1,546万元，比2020年决算数减少3,187万元，下降67.34%，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去年同期拨付高效农业节水减排项目资金3,287万元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城乡社区支出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16,703万元，比2020年决算数增加9,847万元，增长143.63%，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今年拨付抚仙湖北岸国有土地民房拆除补助资金及“美丽县城”专项补助资金合计增加11,919万元等。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2021年澄江市政府性基金收入情况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2021年澄江市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政府性基金预算收入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313,396万元，完成年初预算的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63.69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比上年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决算数减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少68,891万元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，下降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18.02%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2021年澄江市政府性基金收入完成的313,396万元中，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还包含去年已出售今年缴库的地块收入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116,900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元。启动抚仙湖周边开发项目熔断机制后，对土地出让交易工作影响更大，下半年挂牌出让的土地，买方购买欲望不强，流拍频率大，成交数量大幅下降，土地出让收入后继乏力。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四、2021年澄江市政府性基金支出情况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政府性基金预算支出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435,066万元，完成年初预算数的126.63%，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比上年决算数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407,019万元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增加28,047万元，增长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6.89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%。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增减变动情况是：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今年棚户区改造专项债券资金支出增加60,000万元；拨付土储中心土地成本同比增加26,733万元；拨付棚改项目还本付息资金同比增加55,051万元；今年交通运输专项债券支出增加24,700万元；国投公司注资支出同比增加10,880万元；债务付息支出同比增加2,013万元；抗疫特别国债资金支出同比减少63,765万元；拨付山水林田湖草资金支出同比减少64,200万元；去年自行试点项目新增债券与今年提前批新增债券资金同比减少21,100万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五、2021年澄江市国有资本经营预算收支情况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2021年澄江市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国有资本经营预算收入完成350万元，同比增长100%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，是国有独资企业产权转让收入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  <w:t>；国有资本经营预算支出完成15万元，同比增长650%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eastAsia="zh-CN"/>
        </w:rPr>
        <w:t>，是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澄江市社会保险局用于支付2020-2021年国有企业退休人员社会化管理中央补助资金15万元。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澄江市财政局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lang w:val="en-US" w:eastAsia="zh-CN"/>
        </w:rPr>
        <w:t>2022年9月22日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6758"/>
    <w:rsid w:val="015F7B9D"/>
    <w:rsid w:val="016A342F"/>
    <w:rsid w:val="05B87D32"/>
    <w:rsid w:val="05D36286"/>
    <w:rsid w:val="06181693"/>
    <w:rsid w:val="07D3416A"/>
    <w:rsid w:val="08573809"/>
    <w:rsid w:val="08EE1234"/>
    <w:rsid w:val="09BA61FB"/>
    <w:rsid w:val="0A547428"/>
    <w:rsid w:val="0AA161FE"/>
    <w:rsid w:val="0AB12005"/>
    <w:rsid w:val="0C7F6899"/>
    <w:rsid w:val="0DC33406"/>
    <w:rsid w:val="0FB94393"/>
    <w:rsid w:val="11117B3F"/>
    <w:rsid w:val="117D53F0"/>
    <w:rsid w:val="12DD36FE"/>
    <w:rsid w:val="14142E8A"/>
    <w:rsid w:val="145F157C"/>
    <w:rsid w:val="154E5EF0"/>
    <w:rsid w:val="16E335F5"/>
    <w:rsid w:val="17663B5D"/>
    <w:rsid w:val="17E16428"/>
    <w:rsid w:val="17FD05AB"/>
    <w:rsid w:val="188D0C0E"/>
    <w:rsid w:val="19176EAD"/>
    <w:rsid w:val="19831645"/>
    <w:rsid w:val="1BCB0035"/>
    <w:rsid w:val="1C0D2BFB"/>
    <w:rsid w:val="1C9F169F"/>
    <w:rsid w:val="1E762F39"/>
    <w:rsid w:val="20156128"/>
    <w:rsid w:val="20531595"/>
    <w:rsid w:val="2080334C"/>
    <w:rsid w:val="208A2E4D"/>
    <w:rsid w:val="21AB77F7"/>
    <w:rsid w:val="21C8631B"/>
    <w:rsid w:val="21CB0A53"/>
    <w:rsid w:val="224C5ED4"/>
    <w:rsid w:val="27FC6045"/>
    <w:rsid w:val="28C1086C"/>
    <w:rsid w:val="2AAE1FBE"/>
    <w:rsid w:val="2B48450C"/>
    <w:rsid w:val="2CA1049A"/>
    <w:rsid w:val="2ED65916"/>
    <w:rsid w:val="2F9B2F30"/>
    <w:rsid w:val="308B110C"/>
    <w:rsid w:val="32563E11"/>
    <w:rsid w:val="333D0B0C"/>
    <w:rsid w:val="34CA7AC8"/>
    <w:rsid w:val="355D5EE8"/>
    <w:rsid w:val="36385143"/>
    <w:rsid w:val="37775D2C"/>
    <w:rsid w:val="39145FD8"/>
    <w:rsid w:val="39AE171D"/>
    <w:rsid w:val="3B7175CF"/>
    <w:rsid w:val="3B9E0E49"/>
    <w:rsid w:val="3CD55000"/>
    <w:rsid w:val="3DBF6E2E"/>
    <w:rsid w:val="3DF264C9"/>
    <w:rsid w:val="3FAC54A3"/>
    <w:rsid w:val="3FB11C90"/>
    <w:rsid w:val="41F01F7F"/>
    <w:rsid w:val="43154452"/>
    <w:rsid w:val="43F32357"/>
    <w:rsid w:val="4405565E"/>
    <w:rsid w:val="447D3F34"/>
    <w:rsid w:val="46285098"/>
    <w:rsid w:val="46602038"/>
    <w:rsid w:val="480A5C8A"/>
    <w:rsid w:val="48782714"/>
    <w:rsid w:val="48F039B5"/>
    <w:rsid w:val="49F74029"/>
    <w:rsid w:val="4AB72CFA"/>
    <w:rsid w:val="4B6443F7"/>
    <w:rsid w:val="4F2C20ED"/>
    <w:rsid w:val="51E2348D"/>
    <w:rsid w:val="52367561"/>
    <w:rsid w:val="53666C54"/>
    <w:rsid w:val="53C37DD6"/>
    <w:rsid w:val="53F620F5"/>
    <w:rsid w:val="540A5AD0"/>
    <w:rsid w:val="54BB0403"/>
    <w:rsid w:val="56846765"/>
    <w:rsid w:val="5698080E"/>
    <w:rsid w:val="58392C98"/>
    <w:rsid w:val="58AA1A60"/>
    <w:rsid w:val="59740DD7"/>
    <w:rsid w:val="5ABA4653"/>
    <w:rsid w:val="5C625879"/>
    <w:rsid w:val="5C6C080D"/>
    <w:rsid w:val="5D430B5A"/>
    <w:rsid w:val="5D977DC0"/>
    <w:rsid w:val="5DE33888"/>
    <w:rsid w:val="5E925806"/>
    <w:rsid w:val="603B336E"/>
    <w:rsid w:val="61462105"/>
    <w:rsid w:val="61AA0228"/>
    <w:rsid w:val="63326E78"/>
    <w:rsid w:val="63946198"/>
    <w:rsid w:val="64E929E0"/>
    <w:rsid w:val="66281268"/>
    <w:rsid w:val="66B756C3"/>
    <w:rsid w:val="69862F4D"/>
    <w:rsid w:val="6A0E751B"/>
    <w:rsid w:val="6B7206AA"/>
    <w:rsid w:val="6BF21270"/>
    <w:rsid w:val="6C335CEC"/>
    <w:rsid w:val="6FD53EE7"/>
    <w:rsid w:val="709D34B7"/>
    <w:rsid w:val="713C3AAC"/>
    <w:rsid w:val="7280026E"/>
    <w:rsid w:val="741E2DFE"/>
    <w:rsid w:val="754D386F"/>
    <w:rsid w:val="75B31E63"/>
    <w:rsid w:val="766724D4"/>
    <w:rsid w:val="76AB1E06"/>
    <w:rsid w:val="76D0402C"/>
    <w:rsid w:val="784C7248"/>
    <w:rsid w:val="79A33E13"/>
    <w:rsid w:val="7A687DD5"/>
    <w:rsid w:val="7C0E73AF"/>
    <w:rsid w:val="7D8665C1"/>
    <w:rsid w:val="7DD77A3A"/>
    <w:rsid w:val="7E9916FB"/>
    <w:rsid w:val="7EC67E95"/>
    <w:rsid w:val="7F031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宋体" w:hAnsi="宋体"/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2022-10-27T06:55:37Z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