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1</w:t>
      </w:r>
      <w:r>
        <w:rPr>
          <w:rFonts w:hint="eastAsia" w:ascii="方正小标宋_GBK" w:hAnsi="方正小标宋_GBK" w:eastAsia="方正小标宋_GBK" w:cs="方正小标宋_GBK"/>
          <w:b w:val="0"/>
          <w:bCs w:val="0"/>
          <w:sz w:val="44"/>
          <w:szCs w:val="44"/>
        </w:rPr>
        <w:t>年度澄江市一般公共预算“三公”</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经费决算情况说明</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根据国务院关于推进政府预算信息公开的决策部署和澄江市政府工作安排，经澄江市财政局汇总，市人民政府审定，现将</w:t>
      </w:r>
      <w:r>
        <w:rPr>
          <w:rFonts w:hint="default" w:ascii="Times New Roman" w:hAnsi="Times New Roman" w:eastAsia="方正仿宋_GBK" w:cs="Times New Roman"/>
          <w:sz w:val="32"/>
          <w:szCs w:val="32"/>
          <w:lang w:val="en-US" w:eastAsia="zh-CN"/>
        </w:rPr>
        <w:t>172</w:t>
      </w:r>
      <w:r>
        <w:rPr>
          <w:rFonts w:hint="default" w:ascii="Times New Roman" w:hAnsi="Times New Roman" w:eastAsia="方正仿宋_GBK" w:cs="Times New Roman"/>
          <w:sz w:val="32"/>
          <w:szCs w:val="32"/>
        </w:rPr>
        <w:t>个部门（包括行政单位、事业单位以及其他使用一般公共预算财政拨款安排“三公”经费单位），202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年“三公”经费决算情况公开如下：</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年澄江市“三公经费”预算汇总数为</w:t>
      </w:r>
      <w:r>
        <w:rPr>
          <w:rFonts w:hint="default" w:ascii="Times New Roman" w:hAnsi="Times New Roman" w:eastAsia="方正仿宋_GBK" w:cs="Times New Roman"/>
          <w:sz w:val="32"/>
          <w:szCs w:val="32"/>
          <w:lang w:val="en-US" w:eastAsia="zh-CN"/>
        </w:rPr>
        <w:t>760.75</w:t>
      </w:r>
      <w:r>
        <w:rPr>
          <w:rFonts w:hint="default" w:ascii="Times New Roman" w:hAnsi="Times New Roman" w:eastAsia="方正仿宋_GBK" w:cs="Times New Roman"/>
          <w:sz w:val="32"/>
          <w:szCs w:val="32"/>
        </w:rPr>
        <w:t>万元。澄江市一般公共预算财政拨款“三公”经费支出决算汇总数为</w:t>
      </w:r>
      <w:r>
        <w:rPr>
          <w:rFonts w:hint="default" w:ascii="Times New Roman" w:hAnsi="Times New Roman" w:eastAsia="方正仿宋_GBK" w:cs="Times New Roman"/>
          <w:sz w:val="32"/>
          <w:szCs w:val="32"/>
          <w:lang w:val="en-US" w:eastAsia="zh-CN"/>
        </w:rPr>
        <w:t>345.18</w:t>
      </w:r>
      <w:r>
        <w:rPr>
          <w:rFonts w:hint="default" w:ascii="Times New Roman" w:hAnsi="Times New Roman" w:eastAsia="方正仿宋_GBK" w:cs="Times New Roman"/>
          <w:sz w:val="32"/>
          <w:szCs w:val="32"/>
        </w:rPr>
        <w:t>万元，较上年</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9.33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增长</w:t>
      </w:r>
      <w:r>
        <w:rPr>
          <w:rFonts w:hint="default" w:ascii="Times New Roman" w:hAnsi="Times New Roman" w:eastAsia="方正仿宋_GBK" w:cs="Times New Roman"/>
          <w:sz w:val="32"/>
          <w:szCs w:val="32"/>
          <w:lang w:val="en-US" w:eastAsia="zh-CN"/>
        </w:rPr>
        <w:t>2.78</w:t>
      </w:r>
      <w:r>
        <w:rPr>
          <w:rFonts w:hint="default" w:ascii="Times New Roman" w:hAnsi="Times New Roman" w:eastAsia="方正仿宋_GBK" w:cs="Times New Roman"/>
          <w:sz w:val="32"/>
          <w:szCs w:val="32"/>
        </w:rPr>
        <w:t>%。其中：因公出国（境）费为0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万元，与上年比较无变化。公务接待费为</w:t>
      </w:r>
      <w:r>
        <w:rPr>
          <w:rFonts w:hint="default" w:ascii="Times New Roman" w:hAnsi="Times New Roman" w:eastAsia="方正仿宋_GBK" w:cs="Times New Roman"/>
          <w:sz w:val="32"/>
          <w:szCs w:val="32"/>
          <w:lang w:val="en-US" w:eastAsia="zh-CN"/>
        </w:rPr>
        <w:t>70.83</w:t>
      </w:r>
      <w:r>
        <w:rPr>
          <w:rFonts w:hint="default" w:ascii="Times New Roman" w:hAnsi="Times New Roman" w:eastAsia="方正仿宋_GBK" w:cs="Times New Roman"/>
          <w:sz w:val="32"/>
          <w:szCs w:val="32"/>
        </w:rPr>
        <w:t>万元，较上年减少</w:t>
      </w:r>
      <w:r>
        <w:rPr>
          <w:rFonts w:hint="default" w:ascii="Times New Roman" w:hAnsi="Times New Roman" w:eastAsia="方正仿宋_GBK" w:cs="Times New Roman"/>
          <w:sz w:val="32"/>
          <w:szCs w:val="32"/>
          <w:lang w:val="en-US" w:eastAsia="zh-CN"/>
        </w:rPr>
        <w:t>28.72</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28.85</w:t>
      </w:r>
      <w:r>
        <w:rPr>
          <w:rFonts w:hint="default" w:ascii="Times New Roman" w:hAnsi="Times New Roman" w:eastAsia="方正仿宋_GBK" w:cs="Times New Roman"/>
          <w:sz w:val="32"/>
          <w:szCs w:val="32"/>
        </w:rPr>
        <w:t>%，国内公务接待批次为</w:t>
      </w:r>
      <w:r>
        <w:rPr>
          <w:rFonts w:hint="default" w:ascii="Times New Roman" w:hAnsi="Times New Roman" w:eastAsia="方正仿宋_GBK" w:cs="Times New Roman"/>
          <w:sz w:val="32"/>
          <w:szCs w:val="32"/>
          <w:lang w:val="en-US" w:eastAsia="zh-CN"/>
        </w:rPr>
        <w:t>1,236</w:t>
      </w:r>
      <w:r>
        <w:rPr>
          <w:rFonts w:hint="default" w:ascii="Times New Roman" w:hAnsi="Times New Roman" w:eastAsia="方正仿宋_GBK" w:cs="Times New Roman"/>
          <w:sz w:val="32"/>
          <w:szCs w:val="32"/>
        </w:rPr>
        <w:t>次，共计接待</w:t>
      </w:r>
      <w:r>
        <w:rPr>
          <w:rFonts w:hint="default" w:ascii="Times New Roman" w:hAnsi="Times New Roman" w:eastAsia="方正仿宋_GBK" w:cs="Times New Roman"/>
          <w:sz w:val="32"/>
          <w:szCs w:val="32"/>
          <w:lang w:val="en-US" w:eastAsia="zh-CN"/>
        </w:rPr>
        <w:t>10,820</w:t>
      </w:r>
      <w:r>
        <w:rPr>
          <w:rFonts w:hint="default" w:ascii="Times New Roman" w:hAnsi="Times New Roman" w:eastAsia="方正仿宋_GBK" w:cs="Times New Roman"/>
          <w:sz w:val="32"/>
          <w:szCs w:val="32"/>
        </w:rPr>
        <w:t>人次。公务用车购置及运行维护费为</w:t>
      </w:r>
      <w:r>
        <w:rPr>
          <w:rFonts w:hint="default" w:ascii="Times New Roman" w:hAnsi="Times New Roman" w:eastAsia="方正仿宋_GBK" w:cs="Times New Roman"/>
          <w:sz w:val="32"/>
          <w:szCs w:val="32"/>
          <w:lang w:val="en-US" w:eastAsia="zh-CN"/>
        </w:rPr>
        <w:t>274.36</w:t>
      </w:r>
      <w:r>
        <w:rPr>
          <w:rFonts w:hint="default" w:ascii="Times New Roman" w:hAnsi="Times New Roman" w:eastAsia="方正仿宋_GBK" w:cs="Times New Roman"/>
          <w:sz w:val="32"/>
          <w:szCs w:val="32"/>
        </w:rPr>
        <w:t>万元，较上年</w:t>
      </w:r>
      <w:r>
        <w:rPr>
          <w:rFonts w:hint="default" w:ascii="Times New Roman" w:hAnsi="Times New Roman" w:eastAsia="方正仿宋_GBK" w:cs="Times New Roman"/>
          <w:sz w:val="32"/>
          <w:szCs w:val="32"/>
          <w:lang w:val="en-US" w:eastAsia="zh-CN"/>
        </w:rPr>
        <w:t>增加38.06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增长</w:t>
      </w:r>
      <w:r>
        <w:rPr>
          <w:rFonts w:hint="default" w:ascii="Times New Roman" w:hAnsi="Times New Roman" w:eastAsia="方正仿宋_GBK" w:cs="Times New Roman"/>
          <w:sz w:val="32"/>
          <w:szCs w:val="32"/>
          <w:lang w:val="en-US" w:eastAsia="zh-CN"/>
        </w:rPr>
        <w:t>16.11</w:t>
      </w:r>
      <w:r>
        <w:rPr>
          <w:rFonts w:hint="default" w:ascii="Times New Roman" w:hAnsi="Times New Roman" w:eastAsia="方正仿宋_GBK" w:cs="Times New Roman"/>
          <w:sz w:val="32"/>
          <w:szCs w:val="32"/>
        </w:rPr>
        <w:t>%（其中：公务用车购置费</w:t>
      </w:r>
      <w:r>
        <w:rPr>
          <w:rFonts w:hint="default" w:ascii="Times New Roman" w:hAnsi="Times New Roman" w:eastAsia="方正仿宋_GBK" w:cs="Times New Roman"/>
          <w:sz w:val="32"/>
          <w:szCs w:val="32"/>
          <w:lang w:val="en-US" w:eastAsia="zh-CN"/>
        </w:rPr>
        <w:t>55.60</w:t>
      </w:r>
      <w:r>
        <w:rPr>
          <w:rFonts w:hint="default" w:ascii="Times New Roman" w:hAnsi="Times New Roman" w:eastAsia="方正仿宋_GBK" w:cs="Times New Roman"/>
          <w:sz w:val="32"/>
          <w:szCs w:val="32"/>
        </w:rPr>
        <w:t>万元，较上年</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55.60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增长</w:t>
      </w:r>
      <w:r>
        <w:rPr>
          <w:rFonts w:hint="default" w:ascii="Times New Roman" w:hAnsi="Times New Roman" w:eastAsia="方正仿宋_GBK" w:cs="Times New Roman"/>
          <w:sz w:val="32"/>
          <w:szCs w:val="32"/>
        </w:rPr>
        <w:t>100%</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公务用车运行维护费</w:t>
      </w:r>
      <w:r>
        <w:rPr>
          <w:rFonts w:hint="default" w:ascii="Times New Roman" w:hAnsi="Times New Roman" w:eastAsia="方正仿宋_GBK" w:cs="Times New Roman"/>
          <w:sz w:val="32"/>
          <w:szCs w:val="32"/>
          <w:lang w:val="en-US" w:eastAsia="zh-CN"/>
        </w:rPr>
        <w:t>218.76</w:t>
      </w:r>
      <w:r>
        <w:rPr>
          <w:rFonts w:hint="default" w:ascii="Times New Roman" w:hAnsi="Times New Roman" w:eastAsia="方正仿宋_GBK" w:cs="Times New Roman"/>
          <w:sz w:val="32"/>
          <w:szCs w:val="32"/>
        </w:rPr>
        <w:t>万元，较上年减少</w:t>
      </w:r>
      <w:r>
        <w:rPr>
          <w:rFonts w:hint="default" w:ascii="Times New Roman" w:hAnsi="Times New Roman" w:eastAsia="方正仿宋_GBK" w:cs="Times New Roman"/>
          <w:sz w:val="32"/>
          <w:szCs w:val="32"/>
          <w:lang w:val="en-US" w:eastAsia="zh-CN"/>
        </w:rPr>
        <w:t>17.54</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7.42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本年</w:t>
      </w:r>
      <w:r>
        <w:rPr>
          <w:rFonts w:hint="default" w:ascii="Times New Roman" w:hAnsi="Times New Roman" w:eastAsia="方正仿宋_GBK" w:cs="Times New Roman"/>
          <w:sz w:val="32"/>
          <w:szCs w:val="32"/>
        </w:rPr>
        <w:t>共计购置公务用车</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辆，年末公务用车保有量为</w:t>
      </w:r>
      <w:r>
        <w:rPr>
          <w:rFonts w:hint="default" w:ascii="Times New Roman" w:hAnsi="Times New Roman" w:eastAsia="方正仿宋_GBK" w:cs="Times New Roman"/>
          <w:sz w:val="32"/>
          <w:szCs w:val="32"/>
          <w:lang w:val="en-US" w:eastAsia="zh-CN"/>
        </w:rPr>
        <w:t>178</w:t>
      </w:r>
      <w:r>
        <w:rPr>
          <w:rFonts w:hint="default" w:ascii="Times New Roman" w:hAnsi="Times New Roman" w:eastAsia="方正仿宋_GBK" w:cs="Times New Roman"/>
          <w:sz w:val="32"/>
          <w:szCs w:val="32"/>
        </w:rPr>
        <w:t>辆）。</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年澄江市一般公共预算财政拨款“三公”经费支出严格执行中央八项规定和《党政机关厉行节约反对浪费条例》等有关文件精神，规范公务用车运行，大力倡导廉政新风，进一步加强对“三公”经费的监管</w:t>
      </w:r>
      <w:r>
        <w:rPr>
          <w:rFonts w:hint="default" w:ascii="Times New Roman" w:hAnsi="Times New Roman" w:eastAsia="方正仿宋_GBK" w:cs="Times New Roman"/>
          <w:sz w:val="32"/>
          <w:szCs w:val="32"/>
          <w:lang w:eastAsia="zh-CN"/>
        </w:rPr>
        <w:t>，因此</w:t>
      </w:r>
      <w:r>
        <w:rPr>
          <w:rFonts w:hint="default" w:ascii="Times New Roman" w:hAnsi="Times New Roman" w:eastAsia="方正仿宋_GBK" w:cs="Times New Roman"/>
          <w:sz w:val="32"/>
          <w:szCs w:val="32"/>
        </w:rPr>
        <w:t>全年“三公经费”同比</w:t>
      </w:r>
      <w:r>
        <w:rPr>
          <w:rFonts w:hint="default" w:ascii="Times New Roman" w:hAnsi="Times New Roman" w:eastAsia="方正仿宋_GBK" w:cs="Times New Roman"/>
          <w:sz w:val="32"/>
          <w:szCs w:val="32"/>
          <w:lang w:eastAsia="zh-CN"/>
        </w:rPr>
        <w:t>增</w:t>
      </w:r>
      <w:r>
        <w:rPr>
          <w:rFonts w:hint="default" w:ascii="Times New Roman" w:hAnsi="Times New Roman" w:eastAsia="方正仿宋_GBK" w:cs="Times New Roman"/>
          <w:sz w:val="32"/>
          <w:szCs w:val="32"/>
        </w:rPr>
        <w:t>幅较</w:t>
      </w:r>
      <w:r>
        <w:rPr>
          <w:rFonts w:hint="default" w:ascii="Times New Roman" w:hAnsi="Times New Roman" w:eastAsia="方正仿宋_GBK" w:cs="Times New Roman"/>
          <w:sz w:val="32"/>
          <w:szCs w:val="32"/>
          <w:lang w:eastAsia="zh-CN"/>
        </w:rPr>
        <w:t>小。</w:t>
      </w:r>
      <w:r>
        <w:rPr>
          <w:rFonts w:hint="default" w:ascii="Times New Roman" w:hAnsi="Times New Roman" w:eastAsia="方正仿宋_GBK" w:cs="Times New Roman"/>
          <w:sz w:val="32"/>
          <w:szCs w:val="32"/>
        </w:rPr>
        <w:t>20</w:t>
      </w:r>
      <w:bookmarkStart w:id="0" w:name="_GoBack"/>
      <w:bookmarkEnd w:id="0"/>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年国内公务接待批次为</w:t>
      </w:r>
      <w:r>
        <w:rPr>
          <w:rFonts w:hint="default" w:ascii="Times New Roman" w:hAnsi="Times New Roman" w:eastAsia="方正仿宋_GBK" w:cs="Times New Roman"/>
          <w:sz w:val="32"/>
          <w:szCs w:val="32"/>
          <w:lang w:val="en-US" w:eastAsia="zh-CN"/>
        </w:rPr>
        <w:t>1,236</w:t>
      </w:r>
      <w:r>
        <w:rPr>
          <w:rFonts w:hint="default" w:ascii="Times New Roman" w:hAnsi="Times New Roman" w:eastAsia="方正仿宋_GBK" w:cs="Times New Roman"/>
          <w:sz w:val="32"/>
          <w:szCs w:val="32"/>
        </w:rPr>
        <w:t>次，较上年减少</w:t>
      </w:r>
      <w:r>
        <w:rPr>
          <w:rFonts w:hint="default" w:ascii="Times New Roman" w:hAnsi="Times New Roman" w:eastAsia="方正仿宋_GBK" w:cs="Times New Roman"/>
          <w:sz w:val="32"/>
          <w:szCs w:val="32"/>
          <w:lang w:val="en-US" w:eastAsia="zh-CN"/>
        </w:rPr>
        <w:t>561</w:t>
      </w:r>
      <w:r>
        <w:rPr>
          <w:rFonts w:hint="default" w:ascii="Times New Roman" w:hAnsi="Times New Roman" w:eastAsia="方正仿宋_GBK" w:cs="Times New Roman"/>
          <w:sz w:val="32"/>
          <w:szCs w:val="32"/>
        </w:rPr>
        <w:t>次，下降</w:t>
      </w:r>
      <w:r>
        <w:rPr>
          <w:rFonts w:hint="default" w:ascii="Times New Roman" w:hAnsi="Times New Roman" w:eastAsia="方正仿宋_GBK" w:cs="Times New Roman"/>
          <w:sz w:val="32"/>
          <w:szCs w:val="32"/>
          <w:lang w:val="en-US" w:eastAsia="zh-CN"/>
        </w:rPr>
        <w:t>31.22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其中</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外事接待批次为</w:t>
      </w:r>
      <w:r>
        <w:rPr>
          <w:rFonts w:hint="default" w:ascii="Times New Roman" w:hAnsi="Times New Roman" w:eastAsia="方正仿宋_GBK" w:cs="Times New Roman"/>
          <w:sz w:val="32"/>
          <w:szCs w:val="32"/>
          <w:lang w:val="en-US" w:eastAsia="zh-CN"/>
        </w:rPr>
        <w:t>31次，较上年增加16批次，增长106.67%。</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年国内公务接待人次</w:t>
      </w:r>
      <w:r>
        <w:rPr>
          <w:rFonts w:hint="default" w:ascii="Times New Roman" w:hAnsi="Times New Roman" w:eastAsia="方正仿宋_GBK" w:cs="Times New Roman"/>
          <w:sz w:val="32"/>
          <w:szCs w:val="32"/>
          <w:lang w:val="en-US" w:eastAsia="zh-CN"/>
        </w:rPr>
        <w:t>10,820</w:t>
      </w:r>
      <w:r>
        <w:rPr>
          <w:rFonts w:hint="default" w:ascii="Times New Roman" w:hAnsi="Times New Roman" w:eastAsia="方正仿宋_GBK" w:cs="Times New Roman"/>
          <w:sz w:val="32"/>
          <w:szCs w:val="32"/>
        </w:rPr>
        <w:t>人，较上年减少</w:t>
      </w:r>
      <w:r>
        <w:rPr>
          <w:rFonts w:hint="default" w:ascii="Times New Roman" w:hAnsi="Times New Roman" w:eastAsia="方正仿宋_GBK" w:cs="Times New Roman"/>
          <w:sz w:val="32"/>
          <w:szCs w:val="32"/>
          <w:lang w:val="en-US" w:eastAsia="zh-CN"/>
        </w:rPr>
        <w:t>8,570</w:t>
      </w:r>
      <w:r>
        <w:rPr>
          <w:rFonts w:hint="default" w:ascii="Times New Roman" w:hAnsi="Times New Roman" w:eastAsia="方正仿宋_GBK" w:cs="Times New Roman"/>
          <w:sz w:val="32"/>
          <w:szCs w:val="32"/>
        </w:rPr>
        <w:t>人，下降</w:t>
      </w:r>
      <w:r>
        <w:rPr>
          <w:rFonts w:hint="default" w:ascii="Times New Roman" w:hAnsi="Times New Roman" w:eastAsia="方正仿宋_GBK" w:cs="Times New Roman"/>
          <w:sz w:val="32"/>
          <w:szCs w:val="32"/>
          <w:lang w:val="en-US" w:eastAsia="zh-CN"/>
        </w:rPr>
        <w:t>44.20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其中：外事接待人次</w:t>
      </w:r>
      <w:r>
        <w:rPr>
          <w:rFonts w:hint="default" w:ascii="Times New Roman" w:hAnsi="Times New Roman" w:eastAsia="方正仿宋_GBK" w:cs="Times New Roman"/>
          <w:sz w:val="32"/>
          <w:szCs w:val="32"/>
          <w:lang w:val="en-US" w:eastAsia="zh-CN"/>
        </w:rPr>
        <w:t>302人，较上年增加142人，增长88.75%</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年澄江</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“三公经费”决算数对比情况表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500" w:right="0" w:rightChars="0"/>
        <w:textAlignment w:val="auto"/>
        <w:outlineLvl w:val="9"/>
        <w:rPr>
          <w:rFonts w:hint="default" w:ascii="Times New Roman" w:hAnsi="Times New Roman" w:eastAsia="方正仿宋_GBK" w:cs="Times New Roman"/>
          <w:sz w:val="32"/>
          <w:szCs w:val="32"/>
        </w:rPr>
        <w:sectPr>
          <w:footerReference r:id="rId3" w:type="default"/>
          <w:footerReference r:id="rId4" w:type="even"/>
          <w:pgSz w:w="11850" w:h="16783"/>
          <w:pgMar w:top="2098" w:right="1474" w:bottom="1587" w:left="1531" w:header="851" w:footer="992" w:gutter="0"/>
          <w:pgNumType w:fmt="numberInDash"/>
          <w:cols w:space="720" w:num="1"/>
          <w:docGrid w:type="lines" w:linePitch="451" w:charSpace="0"/>
        </w:sect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“三公”经费口径说明</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附件1</w:t>
      </w:r>
    </w:p>
    <w:p>
      <w:pPr>
        <w:keepNext w:val="0"/>
        <w:keepLines w:val="0"/>
        <w:pageBreakBefore w:val="0"/>
        <w:kinsoku/>
        <w:wordWrap/>
        <w:overflowPunct/>
        <w:topLinePunct w:val="0"/>
        <w:autoSpaceDE/>
        <w:autoSpaceDN/>
        <w:bidi w:val="0"/>
        <w:snapToGrid w:val="0"/>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年澄江市“三公”经费决算数</w:t>
      </w:r>
    </w:p>
    <w:p>
      <w:pPr>
        <w:keepNext w:val="0"/>
        <w:keepLines w:val="0"/>
        <w:pageBreakBefore w:val="0"/>
        <w:kinsoku/>
        <w:wordWrap/>
        <w:overflowPunct/>
        <w:topLinePunct w:val="0"/>
        <w:autoSpaceDE/>
        <w:autoSpaceDN/>
        <w:bidi w:val="0"/>
        <w:snapToGrid w:val="0"/>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对比情况表</w:t>
      </w:r>
    </w:p>
    <w:p>
      <w:pPr>
        <w:keepNext w:val="0"/>
        <w:keepLines w:val="0"/>
        <w:pageBreakBefore w:val="0"/>
        <w:widowControl/>
        <w:kinsoku/>
        <w:wordWrap/>
        <w:overflowPunct/>
        <w:topLinePunct w:val="0"/>
        <w:autoSpaceDE/>
        <w:autoSpaceDN/>
        <w:bidi w:val="0"/>
        <w:spacing w:line="590" w:lineRule="exact"/>
        <w:ind w:left="0" w:leftChars="0" w:right="0" w:rightChars="0"/>
        <w:jc w:val="righ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单位：万元</w:t>
      </w:r>
    </w:p>
    <w:tbl>
      <w:tblPr>
        <w:tblStyle w:val="5"/>
        <w:tblW w:w="8937" w:type="dxa"/>
        <w:tblInd w:w="93" w:type="dxa"/>
        <w:tblLayout w:type="fixed"/>
        <w:tblCellMar>
          <w:top w:w="0" w:type="dxa"/>
          <w:left w:w="108" w:type="dxa"/>
          <w:bottom w:w="0" w:type="dxa"/>
          <w:right w:w="108" w:type="dxa"/>
        </w:tblCellMar>
      </w:tblPr>
      <w:tblGrid>
        <w:gridCol w:w="3001"/>
        <w:gridCol w:w="1336"/>
        <w:gridCol w:w="1351"/>
        <w:gridCol w:w="1642"/>
        <w:gridCol w:w="1607"/>
      </w:tblGrid>
      <w:tr>
        <w:tblPrEx>
          <w:tblLayout w:type="fixed"/>
          <w:tblCellMar>
            <w:top w:w="0" w:type="dxa"/>
            <w:left w:w="108" w:type="dxa"/>
            <w:bottom w:w="0" w:type="dxa"/>
            <w:right w:w="108" w:type="dxa"/>
          </w:tblCellMar>
        </w:tblPrEx>
        <w:trPr>
          <w:trHeight w:val="512" w:hRule="atLeast"/>
        </w:trPr>
        <w:tc>
          <w:tcPr>
            <w:tcW w:w="3001"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  目</w:t>
            </w:r>
          </w:p>
        </w:tc>
        <w:tc>
          <w:tcPr>
            <w:tcW w:w="13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上年</w:t>
            </w:r>
          </w:p>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决算数</w:t>
            </w:r>
          </w:p>
        </w:tc>
        <w:tc>
          <w:tcPr>
            <w:tcW w:w="13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本年</w:t>
            </w:r>
          </w:p>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决算数</w:t>
            </w:r>
          </w:p>
        </w:tc>
        <w:tc>
          <w:tcPr>
            <w:tcW w:w="324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较上年增减情况</w:t>
            </w:r>
          </w:p>
        </w:tc>
      </w:tr>
      <w:tr>
        <w:tblPrEx>
          <w:tblLayout w:type="fixed"/>
          <w:tblCellMar>
            <w:top w:w="0" w:type="dxa"/>
            <w:left w:w="108" w:type="dxa"/>
            <w:bottom w:w="0" w:type="dxa"/>
            <w:right w:w="108" w:type="dxa"/>
          </w:tblCellMar>
        </w:tblPrEx>
        <w:trPr>
          <w:trHeight w:val="395" w:hRule="atLeast"/>
        </w:trPr>
        <w:tc>
          <w:tcPr>
            <w:tcW w:w="300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p>
        </w:tc>
        <w:tc>
          <w:tcPr>
            <w:tcW w:w="13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p>
        </w:tc>
        <w:tc>
          <w:tcPr>
            <w:tcW w:w="13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p>
        </w:tc>
        <w:tc>
          <w:tcPr>
            <w:tcW w:w="16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增减额</w:t>
            </w:r>
          </w:p>
        </w:tc>
        <w:tc>
          <w:tcPr>
            <w:tcW w:w="16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增减幅度</w:t>
            </w:r>
          </w:p>
        </w:tc>
      </w:tr>
      <w:tr>
        <w:tblPrEx>
          <w:tblLayout w:type="fixed"/>
          <w:tblCellMar>
            <w:top w:w="0" w:type="dxa"/>
            <w:left w:w="108" w:type="dxa"/>
            <w:bottom w:w="0" w:type="dxa"/>
            <w:right w:w="108" w:type="dxa"/>
          </w:tblCellMar>
        </w:tblPrEx>
        <w:trPr>
          <w:trHeight w:val="357" w:hRule="atLeast"/>
        </w:trPr>
        <w:tc>
          <w:tcPr>
            <w:tcW w:w="3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  计</w:t>
            </w:r>
          </w:p>
        </w:tc>
        <w:tc>
          <w:tcPr>
            <w:tcW w:w="13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335.85</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345.18</w:t>
            </w:r>
          </w:p>
        </w:tc>
        <w:tc>
          <w:tcPr>
            <w:tcW w:w="16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9.33</w:t>
            </w:r>
          </w:p>
        </w:tc>
        <w:tc>
          <w:tcPr>
            <w:tcW w:w="16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2.78</w:t>
            </w:r>
            <w:r>
              <w:rPr>
                <w:rFonts w:hint="default" w:ascii="Times New Roman" w:hAnsi="Times New Roman" w:eastAsia="方正仿宋_GBK" w:cs="Times New Roman"/>
                <w:color w:val="000000"/>
                <w:sz w:val="32"/>
                <w:szCs w:val="32"/>
              </w:rPr>
              <w:t>%</w:t>
            </w:r>
          </w:p>
        </w:tc>
      </w:tr>
      <w:tr>
        <w:tblPrEx>
          <w:tblLayout w:type="fixed"/>
          <w:tblCellMar>
            <w:top w:w="0" w:type="dxa"/>
            <w:left w:w="108" w:type="dxa"/>
            <w:bottom w:w="0" w:type="dxa"/>
            <w:right w:w="108" w:type="dxa"/>
          </w:tblCellMar>
        </w:tblPrEx>
        <w:trPr>
          <w:trHeight w:val="402" w:hRule="atLeast"/>
        </w:trPr>
        <w:tc>
          <w:tcPr>
            <w:tcW w:w="3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1.因公出国（境）费</w:t>
            </w:r>
          </w:p>
        </w:tc>
        <w:tc>
          <w:tcPr>
            <w:tcW w:w="13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0.00</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0.00</w:t>
            </w:r>
          </w:p>
        </w:tc>
        <w:tc>
          <w:tcPr>
            <w:tcW w:w="16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szCs w:val="32"/>
                <w:lang w:val="en-US" w:eastAsia="zh-CN"/>
              </w:rPr>
              <w:t>.00</w:t>
            </w:r>
          </w:p>
        </w:tc>
        <w:tc>
          <w:tcPr>
            <w:tcW w:w="16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0</w:t>
            </w:r>
            <w:r>
              <w:rPr>
                <w:rFonts w:hint="eastAsia" w:eastAsia="方正仿宋_GBK" w:cs="Times New Roman"/>
                <w:color w:val="000000"/>
                <w:sz w:val="32"/>
                <w:szCs w:val="32"/>
                <w:lang w:val="en-US" w:eastAsia="zh-CN"/>
              </w:rPr>
              <w:t>.00</w:t>
            </w:r>
            <w:r>
              <w:rPr>
                <w:rFonts w:hint="default" w:ascii="Times New Roman" w:hAnsi="Times New Roman" w:eastAsia="方正仿宋_GBK" w:cs="Times New Roman"/>
                <w:color w:val="000000"/>
                <w:sz w:val="32"/>
                <w:szCs w:val="32"/>
              </w:rPr>
              <w:t>%</w:t>
            </w:r>
          </w:p>
        </w:tc>
      </w:tr>
      <w:tr>
        <w:tblPrEx>
          <w:tblLayout w:type="fixed"/>
          <w:tblCellMar>
            <w:top w:w="0" w:type="dxa"/>
            <w:left w:w="108" w:type="dxa"/>
            <w:bottom w:w="0" w:type="dxa"/>
            <w:right w:w="108" w:type="dxa"/>
          </w:tblCellMar>
        </w:tblPrEx>
        <w:trPr>
          <w:trHeight w:val="462" w:hRule="atLeast"/>
        </w:trPr>
        <w:tc>
          <w:tcPr>
            <w:tcW w:w="3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2.公务接待费</w:t>
            </w:r>
          </w:p>
        </w:tc>
        <w:tc>
          <w:tcPr>
            <w:tcW w:w="13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99.55</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70.83</w:t>
            </w:r>
          </w:p>
        </w:tc>
        <w:tc>
          <w:tcPr>
            <w:tcW w:w="16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28.72</w:t>
            </w:r>
          </w:p>
        </w:tc>
        <w:tc>
          <w:tcPr>
            <w:tcW w:w="16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28.85</w:t>
            </w:r>
            <w:r>
              <w:rPr>
                <w:rFonts w:hint="default" w:ascii="Times New Roman" w:hAnsi="Times New Roman" w:eastAsia="方正仿宋_GBK" w:cs="Times New Roman"/>
                <w:color w:val="000000"/>
                <w:sz w:val="32"/>
                <w:szCs w:val="32"/>
              </w:rPr>
              <w:t>%</w:t>
            </w:r>
          </w:p>
        </w:tc>
      </w:tr>
      <w:tr>
        <w:tblPrEx>
          <w:tblLayout w:type="fixed"/>
          <w:tblCellMar>
            <w:top w:w="0" w:type="dxa"/>
            <w:left w:w="108" w:type="dxa"/>
            <w:bottom w:w="0" w:type="dxa"/>
            <w:right w:w="108" w:type="dxa"/>
          </w:tblCellMar>
        </w:tblPrEx>
        <w:trPr>
          <w:trHeight w:val="452" w:hRule="atLeast"/>
        </w:trPr>
        <w:tc>
          <w:tcPr>
            <w:tcW w:w="3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3.公务用车购置费及运行维护费</w:t>
            </w:r>
          </w:p>
        </w:tc>
        <w:tc>
          <w:tcPr>
            <w:tcW w:w="13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236.30</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274.36</w:t>
            </w:r>
          </w:p>
        </w:tc>
        <w:tc>
          <w:tcPr>
            <w:tcW w:w="16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38.06</w:t>
            </w:r>
          </w:p>
        </w:tc>
        <w:tc>
          <w:tcPr>
            <w:tcW w:w="16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16.11</w:t>
            </w:r>
            <w:r>
              <w:rPr>
                <w:rFonts w:hint="default" w:ascii="Times New Roman" w:hAnsi="Times New Roman" w:eastAsia="方正仿宋_GBK" w:cs="Times New Roman"/>
                <w:color w:val="000000"/>
                <w:sz w:val="32"/>
                <w:szCs w:val="32"/>
              </w:rPr>
              <w:t>%</w:t>
            </w:r>
          </w:p>
        </w:tc>
      </w:tr>
      <w:tr>
        <w:tblPrEx>
          <w:tblLayout w:type="fixed"/>
          <w:tblCellMar>
            <w:top w:w="0" w:type="dxa"/>
            <w:left w:w="108" w:type="dxa"/>
            <w:bottom w:w="0" w:type="dxa"/>
            <w:right w:w="108" w:type="dxa"/>
          </w:tblCellMar>
        </w:tblPrEx>
        <w:trPr>
          <w:trHeight w:val="452" w:hRule="atLeast"/>
        </w:trPr>
        <w:tc>
          <w:tcPr>
            <w:tcW w:w="3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其中：（1）公务用车购置费</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0.00</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55.60</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55.6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100</w:t>
            </w:r>
            <w:r>
              <w:rPr>
                <w:rFonts w:hint="default" w:ascii="Times New Roman" w:hAnsi="Times New Roman" w:eastAsia="方正仿宋_GBK" w:cs="Times New Roman"/>
                <w:color w:val="000000"/>
                <w:sz w:val="32"/>
                <w:szCs w:val="32"/>
                <w:lang w:val="en-US" w:eastAsia="zh-CN"/>
              </w:rPr>
              <w:t>.00</w:t>
            </w:r>
            <w:r>
              <w:rPr>
                <w:rFonts w:hint="default" w:ascii="Times New Roman" w:hAnsi="Times New Roman" w:eastAsia="方正仿宋_GBK" w:cs="Times New Roman"/>
                <w:color w:val="000000"/>
                <w:sz w:val="32"/>
                <w:szCs w:val="32"/>
              </w:rPr>
              <w:t>%</w:t>
            </w:r>
          </w:p>
        </w:tc>
      </w:tr>
      <w:tr>
        <w:tblPrEx>
          <w:tblLayout w:type="fixed"/>
          <w:tblCellMar>
            <w:top w:w="0" w:type="dxa"/>
            <w:left w:w="108" w:type="dxa"/>
            <w:bottom w:w="0" w:type="dxa"/>
            <w:right w:w="108" w:type="dxa"/>
          </w:tblCellMar>
        </w:tblPrEx>
        <w:trPr>
          <w:trHeight w:val="452" w:hRule="atLeast"/>
        </w:trPr>
        <w:tc>
          <w:tcPr>
            <w:tcW w:w="3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（2）公务用车运行维护费</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236.30</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218.76</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17.54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-7.42</w:t>
            </w:r>
            <w:r>
              <w:rPr>
                <w:rFonts w:hint="default" w:ascii="Times New Roman" w:hAnsi="Times New Roman" w:eastAsia="方正仿宋_GBK" w:cs="Times New Roman"/>
                <w:color w:val="000000"/>
                <w:sz w:val="32"/>
                <w:szCs w:val="32"/>
              </w:rPr>
              <w:t>%</w:t>
            </w:r>
          </w:p>
        </w:tc>
      </w:tr>
    </w:tbl>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“三公”经费口径说明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一、“三公”经费包括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按照党中央、国务院有关文件及部门预算管理有关规定，“三公”经费包括因公出国（境）费、公务用车购置及运行费、公务接待费</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因公出国（境）费，指单位公务出国（境）的国际旅费、国外城市间交通费、住宿费、伙食费、培训费、公杂费等支出。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公务用车购置费，指公务用车购置支出（含车辆购置税、拍照费）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公务用车运行维护费，指单位按规定保留的公务用车燃料费、维修费、过路过桥费、保险费、安全奖励费用等支出。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二、“三公”经费决算数</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指各级各部门（含下属单位）用一般公共预算财政拨款（含上年结转结余和当年预算）安排的因公出国（境）费、公务用车购置及运行维护费和公务接待费支出数。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val="en-US" w:eastAsia="zh-CN"/>
        </w:rPr>
        <w:t>统计范围</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年使用财政拨款安排“三公”经费的部门均纳入统计范围。澄江市“三公”经费汇总情况将与部门决算在玉溪网上公开，</w:t>
      </w:r>
      <w:r>
        <w:rPr>
          <w:rFonts w:hint="default" w:ascii="Times New Roman" w:hAnsi="Times New Roman" w:eastAsia="方正仿宋_GBK" w:cs="Times New Roman"/>
          <w:sz w:val="32"/>
          <w:szCs w:val="32"/>
          <w:lang w:eastAsia="zh-CN"/>
        </w:rPr>
        <w:t>本级</w:t>
      </w:r>
      <w:r>
        <w:rPr>
          <w:rFonts w:hint="default" w:ascii="Times New Roman" w:hAnsi="Times New Roman" w:eastAsia="方正仿宋_GBK" w:cs="Times New Roman"/>
          <w:sz w:val="32"/>
          <w:szCs w:val="32"/>
        </w:rPr>
        <w:t>各部门“三公”经费情况由各部门在其政府信息公开网站上自行公开。</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1600" w:rightChars="5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澄江市财政局</w:t>
      </w:r>
    </w:p>
    <w:p>
      <w:pPr>
        <w:keepNext w:val="0"/>
        <w:keepLines w:val="0"/>
        <w:pageBreakBefore w:val="0"/>
        <w:widowControl w:val="0"/>
        <w:kinsoku/>
        <w:wordWrap/>
        <w:overflowPunct/>
        <w:topLinePunct w:val="0"/>
        <w:autoSpaceDE/>
        <w:autoSpaceDN/>
        <w:bidi w:val="0"/>
        <w:adjustRightInd w:val="0"/>
        <w:snapToGrid w:val="0"/>
        <w:spacing w:line="590" w:lineRule="exact"/>
        <w:ind w:right="1280" w:rightChars="4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sectPr>
      <w:pgSz w:w="11850" w:h="16783"/>
      <w:pgMar w:top="2098" w:right="1474" w:bottom="1587" w:left="1531" w:header="851" w:footer="992" w:gutter="0"/>
      <w:pgNumType w:fmt="numberInDash"/>
      <w:cols w:space="720" w:num="1"/>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5"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XUKq0BAABKAwAADgAAAGRycy9lMm9Eb2MueG1srVNLbtswEN0XyB0I&#10;7msqBho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n3K3ekD1Jh0HzAtDV/8kDNHP6Azix5UtPmLcgjG&#10;sc/7U2/lkIjIjxbzxaLCkMDYdEEc9vQ8REhfpbckGw2NOLzSU767hXRMnVJyNeevtTHo57VxLxyI&#10;mT0scz9yzFYa1sNIfO3bPerpce4NdbiYlJgbh23NKzIZcTLWk7ENUW+6skO5HoTP24QkCrdc4Qg7&#10;FsaBFXXjcuWNeH4vWU+/wO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EV1CqtAQAASgMA&#10;AA4AAAAAAAAAAQAgAAAAHgEAAGRycy9lMm9Eb2MueG1sUEsFBgAAAAAGAAYAWQEAAD0FAAAAAA==&#10;">
              <v:fill on="f" focussize="0,0"/>
              <v:stroke on="f"/>
              <v:imagedata o:title=""/>
              <o:lock v:ext="edit" aspectratio="f"/>
              <v:textbox inset="0mm,0mm,0mm,0mm" style="mso-fit-shape-to-text:t;">
                <w:txbxContent>
                  <w:p>
                    <w:pPr>
                      <w:pStyle w:val="3"/>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AFXmQawBAABKAwAA&#10;DgAAAAAAAAABACAAAAAeAQAAZHJzL2Uyb0RvYy54bWxQSwUGAAAAAAYABgBZAQAAPAUAAAAA&#10;">
              <v:fill on="f" focussize="0,0"/>
              <v:stroke on="f"/>
              <v:imagedata o:title=""/>
              <o:lock v:ext="edit" aspectratio="f"/>
              <v:textbox inset="0mm,0mm,0mm,0mm" style="mso-fit-shape-to-text:t;">
                <w:txbxContent>
                  <w:p>
                    <w:pPr>
                      <w:pStyle w:val="3"/>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2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3AB"/>
    <w:rsid w:val="0005077A"/>
    <w:rsid w:val="00070407"/>
    <w:rsid w:val="00070693"/>
    <w:rsid w:val="00081270"/>
    <w:rsid w:val="00094E1D"/>
    <w:rsid w:val="000973EB"/>
    <w:rsid w:val="000A068A"/>
    <w:rsid w:val="000A6C14"/>
    <w:rsid w:val="000D7A52"/>
    <w:rsid w:val="000F58D7"/>
    <w:rsid w:val="00101D03"/>
    <w:rsid w:val="001133FC"/>
    <w:rsid w:val="001219F0"/>
    <w:rsid w:val="00192A38"/>
    <w:rsid w:val="001943EC"/>
    <w:rsid w:val="001A033F"/>
    <w:rsid w:val="001D3163"/>
    <w:rsid w:val="001E0BE9"/>
    <w:rsid w:val="001E4307"/>
    <w:rsid w:val="001F2989"/>
    <w:rsid w:val="00205316"/>
    <w:rsid w:val="002145D3"/>
    <w:rsid w:val="00265A5C"/>
    <w:rsid w:val="00274629"/>
    <w:rsid w:val="002D7E6B"/>
    <w:rsid w:val="003011BA"/>
    <w:rsid w:val="00306C6B"/>
    <w:rsid w:val="00322965"/>
    <w:rsid w:val="00340BE7"/>
    <w:rsid w:val="00347D0B"/>
    <w:rsid w:val="0035339C"/>
    <w:rsid w:val="003645BA"/>
    <w:rsid w:val="00365109"/>
    <w:rsid w:val="003708DB"/>
    <w:rsid w:val="00372F88"/>
    <w:rsid w:val="003733A6"/>
    <w:rsid w:val="00383461"/>
    <w:rsid w:val="0039558F"/>
    <w:rsid w:val="003A3B2B"/>
    <w:rsid w:val="003B0EB3"/>
    <w:rsid w:val="003E3EEB"/>
    <w:rsid w:val="00402C28"/>
    <w:rsid w:val="00405F8F"/>
    <w:rsid w:val="0040748A"/>
    <w:rsid w:val="00434B12"/>
    <w:rsid w:val="00454237"/>
    <w:rsid w:val="004A6D7A"/>
    <w:rsid w:val="004B00A7"/>
    <w:rsid w:val="004D3951"/>
    <w:rsid w:val="004D484D"/>
    <w:rsid w:val="004D5B1D"/>
    <w:rsid w:val="004E3D3C"/>
    <w:rsid w:val="004F569B"/>
    <w:rsid w:val="00507CFE"/>
    <w:rsid w:val="00530527"/>
    <w:rsid w:val="005630F5"/>
    <w:rsid w:val="005A2124"/>
    <w:rsid w:val="005B1AB0"/>
    <w:rsid w:val="005D573F"/>
    <w:rsid w:val="005E3FDF"/>
    <w:rsid w:val="005F5439"/>
    <w:rsid w:val="006206F6"/>
    <w:rsid w:val="00623011"/>
    <w:rsid w:val="00633922"/>
    <w:rsid w:val="00642025"/>
    <w:rsid w:val="00653406"/>
    <w:rsid w:val="00655439"/>
    <w:rsid w:val="00673D6C"/>
    <w:rsid w:val="006C5643"/>
    <w:rsid w:val="006D2289"/>
    <w:rsid w:val="006F52CD"/>
    <w:rsid w:val="007179E3"/>
    <w:rsid w:val="00720366"/>
    <w:rsid w:val="00730755"/>
    <w:rsid w:val="007321EF"/>
    <w:rsid w:val="007644B9"/>
    <w:rsid w:val="007B2547"/>
    <w:rsid w:val="007B2671"/>
    <w:rsid w:val="007D5C82"/>
    <w:rsid w:val="007E5DEB"/>
    <w:rsid w:val="00817C1D"/>
    <w:rsid w:val="008273CE"/>
    <w:rsid w:val="0084587D"/>
    <w:rsid w:val="00846463"/>
    <w:rsid w:val="008C157F"/>
    <w:rsid w:val="008C3122"/>
    <w:rsid w:val="008C3640"/>
    <w:rsid w:val="008D4CDD"/>
    <w:rsid w:val="008F6A67"/>
    <w:rsid w:val="00935136"/>
    <w:rsid w:val="00936329"/>
    <w:rsid w:val="00950B4C"/>
    <w:rsid w:val="009905CF"/>
    <w:rsid w:val="009B22A3"/>
    <w:rsid w:val="009E013A"/>
    <w:rsid w:val="009E6C4E"/>
    <w:rsid w:val="009F17AD"/>
    <w:rsid w:val="00A15897"/>
    <w:rsid w:val="00A25553"/>
    <w:rsid w:val="00A535AF"/>
    <w:rsid w:val="00A72087"/>
    <w:rsid w:val="00A7231B"/>
    <w:rsid w:val="00AA50E8"/>
    <w:rsid w:val="00AA5CF4"/>
    <w:rsid w:val="00AD596B"/>
    <w:rsid w:val="00AE1386"/>
    <w:rsid w:val="00AE4DE3"/>
    <w:rsid w:val="00AF4B63"/>
    <w:rsid w:val="00B00ACB"/>
    <w:rsid w:val="00B03495"/>
    <w:rsid w:val="00B04C4C"/>
    <w:rsid w:val="00B437E6"/>
    <w:rsid w:val="00B70044"/>
    <w:rsid w:val="00B77FAC"/>
    <w:rsid w:val="00B81B5D"/>
    <w:rsid w:val="00BC675D"/>
    <w:rsid w:val="00C52019"/>
    <w:rsid w:val="00C73339"/>
    <w:rsid w:val="00C74FF5"/>
    <w:rsid w:val="00CC36B5"/>
    <w:rsid w:val="00D025D4"/>
    <w:rsid w:val="00D45475"/>
    <w:rsid w:val="00D5107C"/>
    <w:rsid w:val="00D56F29"/>
    <w:rsid w:val="00D90E2A"/>
    <w:rsid w:val="00DB1D2A"/>
    <w:rsid w:val="00DC58D7"/>
    <w:rsid w:val="00DE0DF0"/>
    <w:rsid w:val="00E05A86"/>
    <w:rsid w:val="00E15F51"/>
    <w:rsid w:val="00E20445"/>
    <w:rsid w:val="00E204F8"/>
    <w:rsid w:val="00E2487E"/>
    <w:rsid w:val="00E25A9E"/>
    <w:rsid w:val="00E47544"/>
    <w:rsid w:val="00E722C8"/>
    <w:rsid w:val="00EC2822"/>
    <w:rsid w:val="00EE05BC"/>
    <w:rsid w:val="00EE7CD8"/>
    <w:rsid w:val="00EF2578"/>
    <w:rsid w:val="00F113FA"/>
    <w:rsid w:val="00F12DD0"/>
    <w:rsid w:val="00F12F7A"/>
    <w:rsid w:val="00F250B3"/>
    <w:rsid w:val="00F36B5F"/>
    <w:rsid w:val="00F37A7E"/>
    <w:rsid w:val="00F848DF"/>
    <w:rsid w:val="00FA0E3C"/>
    <w:rsid w:val="00FA3881"/>
    <w:rsid w:val="00FC764A"/>
    <w:rsid w:val="00FD0553"/>
    <w:rsid w:val="00FD3F93"/>
    <w:rsid w:val="039C0FA6"/>
    <w:rsid w:val="045B40A2"/>
    <w:rsid w:val="04A464BE"/>
    <w:rsid w:val="057E50FE"/>
    <w:rsid w:val="065844E5"/>
    <w:rsid w:val="07C157B8"/>
    <w:rsid w:val="08D732D9"/>
    <w:rsid w:val="0B707026"/>
    <w:rsid w:val="0C8B116D"/>
    <w:rsid w:val="0D8B2848"/>
    <w:rsid w:val="0DE31A24"/>
    <w:rsid w:val="0EE81C4C"/>
    <w:rsid w:val="10183E6D"/>
    <w:rsid w:val="101D18A2"/>
    <w:rsid w:val="104B20E2"/>
    <w:rsid w:val="10E360D0"/>
    <w:rsid w:val="110D51B6"/>
    <w:rsid w:val="11367E1B"/>
    <w:rsid w:val="115D2078"/>
    <w:rsid w:val="11B20041"/>
    <w:rsid w:val="11C90EBC"/>
    <w:rsid w:val="16246B75"/>
    <w:rsid w:val="1694161F"/>
    <w:rsid w:val="172A7A89"/>
    <w:rsid w:val="188C2814"/>
    <w:rsid w:val="19211DD9"/>
    <w:rsid w:val="1A140060"/>
    <w:rsid w:val="1A89526D"/>
    <w:rsid w:val="1AA57A00"/>
    <w:rsid w:val="1BA557B2"/>
    <w:rsid w:val="1C2B63A6"/>
    <w:rsid w:val="1CE5174A"/>
    <w:rsid w:val="1DC3041C"/>
    <w:rsid w:val="1DE97301"/>
    <w:rsid w:val="1EDB5B4F"/>
    <w:rsid w:val="1F1B751B"/>
    <w:rsid w:val="1F716B64"/>
    <w:rsid w:val="1F73174D"/>
    <w:rsid w:val="2096517A"/>
    <w:rsid w:val="209F1339"/>
    <w:rsid w:val="215D669B"/>
    <w:rsid w:val="21712E18"/>
    <w:rsid w:val="22F620BF"/>
    <w:rsid w:val="237C1F1B"/>
    <w:rsid w:val="23C8328F"/>
    <w:rsid w:val="255F5A75"/>
    <w:rsid w:val="258B7064"/>
    <w:rsid w:val="27514B88"/>
    <w:rsid w:val="284F51E1"/>
    <w:rsid w:val="2A352C16"/>
    <w:rsid w:val="2AFA3625"/>
    <w:rsid w:val="2BEB32E7"/>
    <w:rsid w:val="2BFD1C03"/>
    <w:rsid w:val="2C51590A"/>
    <w:rsid w:val="2C61262D"/>
    <w:rsid w:val="2C8E6349"/>
    <w:rsid w:val="2CB93760"/>
    <w:rsid w:val="2D0A34FC"/>
    <w:rsid w:val="2DDC6148"/>
    <w:rsid w:val="2DE46774"/>
    <w:rsid w:val="30095899"/>
    <w:rsid w:val="301F690C"/>
    <w:rsid w:val="311F3A7D"/>
    <w:rsid w:val="313D7E14"/>
    <w:rsid w:val="31E45F61"/>
    <w:rsid w:val="324845B6"/>
    <w:rsid w:val="33020DAC"/>
    <w:rsid w:val="338466F8"/>
    <w:rsid w:val="338974A7"/>
    <w:rsid w:val="34470D06"/>
    <w:rsid w:val="35F63F45"/>
    <w:rsid w:val="360548EA"/>
    <w:rsid w:val="3677376C"/>
    <w:rsid w:val="36FF25C7"/>
    <w:rsid w:val="37FE1A01"/>
    <w:rsid w:val="39C3633C"/>
    <w:rsid w:val="3A8D3C9C"/>
    <w:rsid w:val="3B162E3B"/>
    <w:rsid w:val="3BF45141"/>
    <w:rsid w:val="3C3A12C5"/>
    <w:rsid w:val="3CA02921"/>
    <w:rsid w:val="3CA902DA"/>
    <w:rsid w:val="3D5615F9"/>
    <w:rsid w:val="3D9B2159"/>
    <w:rsid w:val="3E607579"/>
    <w:rsid w:val="3F9F665E"/>
    <w:rsid w:val="401072C7"/>
    <w:rsid w:val="408C7BDA"/>
    <w:rsid w:val="40AC2605"/>
    <w:rsid w:val="40BE4045"/>
    <w:rsid w:val="41F72C1A"/>
    <w:rsid w:val="42A01DBE"/>
    <w:rsid w:val="43F77DCA"/>
    <w:rsid w:val="440740F7"/>
    <w:rsid w:val="44E839C7"/>
    <w:rsid w:val="4585798A"/>
    <w:rsid w:val="460719DE"/>
    <w:rsid w:val="462B2512"/>
    <w:rsid w:val="468A68CD"/>
    <w:rsid w:val="470C3BF8"/>
    <w:rsid w:val="492404BE"/>
    <w:rsid w:val="496A1BEC"/>
    <w:rsid w:val="49FD7771"/>
    <w:rsid w:val="4B460DF9"/>
    <w:rsid w:val="4BB632D0"/>
    <w:rsid w:val="4BBE2E28"/>
    <w:rsid w:val="4BF46EC9"/>
    <w:rsid w:val="4C250CE1"/>
    <w:rsid w:val="4E281218"/>
    <w:rsid w:val="4E2F3B30"/>
    <w:rsid w:val="4E733410"/>
    <w:rsid w:val="4EF25846"/>
    <w:rsid w:val="4F2169D7"/>
    <w:rsid w:val="4F6F6945"/>
    <w:rsid w:val="4FD62C39"/>
    <w:rsid w:val="507F0ECA"/>
    <w:rsid w:val="51EB380F"/>
    <w:rsid w:val="52736C76"/>
    <w:rsid w:val="52FE7D88"/>
    <w:rsid w:val="53500A70"/>
    <w:rsid w:val="53735AF1"/>
    <w:rsid w:val="54F54063"/>
    <w:rsid w:val="55770277"/>
    <w:rsid w:val="558D2AE1"/>
    <w:rsid w:val="55945313"/>
    <w:rsid w:val="55A82C4F"/>
    <w:rsid w:val="560F7719"/>
    <w:rsid w:val="56F61387"/>
    <w:rsid w:val="56F90AE4"/>
    <w:rsid w:val="58E268F3"/>
    <w:rsid w:val="58F955DE"/>
    <w:rsid w:val="5A160BC9"/>
    <w:rsid w:val="5A4C1A61"/>
    <w:rsid w:val="5C2A108F"/>
    <w:rsid w:val="5C94700A"/>
    <w:rsid w:val="5D1B71BB"/>
    <w:rsid w:val="5D9A566B"/>
    <w:rsid w:val="5E17412C"/>
    <w:rsid w:val="5EA93EE3"/>
    <w:rsid w:val="5ED87261"/>
    <w:rsid w:val="5EFF20F2"/>
    <w:rsid w:val="5F301C33"/>
    <w:rsid w:val="5F306C26"/>
    <w:rsid w:val="63C6524C"/>
    <w:rsid w:val="64380CCB"/>
    <w:rsid w:val="648D0A6E"/>
    <w:rsid w:val="65262F5B"/>
    <w:rsid w:val="66740A77"/>
    <w:rsid w:val="66A61BEA"/>
    <w:rsid w:val="67460FEF"/>
    <w:rsid w:val="67D26553"/>
    <w:rsid w:val="688A6F7C"/>
    <w:rsid w:val="6A5E700C"/>
    <w:rsid w:val="6B7229F7"/>
    <w:rsid w:val="6BA7499F"/>
    <w:rsid w:val="6C273A24"/>
    <w:rsid w:val="6C404D1E"/>
    <w:rsid w:val="6C993E51"/>
    <w:rsid w:val="6CDF35F0"/>
    <w:rsid w:val="6D6215E3"/>
    <w:rsid w:val="6F2A6B3F"/>
    <w:rsid w:val="7022015E"/>
    <w:rsid w:val="709732C3"/>
    <w:rsid w:val="710A7ACB"/>
    <w:rsid w:val="73C502CA"/>
    <w:rsid w:val="73C70CB7"/>
    <w:rsid w:val="74A507F8"/>
    <w:rsid w:val="74CC6910"/>
    <w:rsid w:val="75CD187E"/>
    <w:rsid w:val="78B95B0A"/>
    <w:rsid w:val="78F33422"/>
    <w:rsid w:val="7A813158"/>
    <w:rsid w:val="7AAF063D"/>
    <w:rsid w:val="7D0B24F1"/>
    <w:rsid w:val="7FA705AA"/>
    <w:rsid w:val="7FB822CE"/>
    <w:rsid w:val="7FC14B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44"/>
      <w:sz w:val="32"/>
      <w:lang w:val="en-US" w:eastAsia="zh-CN" w:bidi="ar-SA"/>
    </w:rPr>
  </w:style>
  <w:style w:type="character" w:default="1" w:styleId="6">
    <w:name w:val="Default Paragraph Font"/>
    <w:semiHidden/>
    <w:uiPriority w:val="0"/>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iPriority w:val="0"/>
  </w:style>
  <w:style w:type="character" w:customStyle="1" w:styleId="8">
    <w:name w:val="Character Style 2"/>
    <w:uiPriority w:val="0"/>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232</Words>
  <Characters>1328</Characters>
  <Lines>11</Lines>
  <Paragraphs>3</Paragraphs>
  <TotalTime>11</TotalTime>
  <ScaleCrop>false</ScaleCrop>
  <LinksUpToDate>false</LinksUpToDate>
  <CharactersWithSpaces>1557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2021-10-09T02:00:00Z</dcterms:created>
  <dc:creator>user</dc:creator>
  <cp:lastModifiedBy>Dell</cp:lastModifiedBy>
  <cp:lastPrinted>2017-08-16T03:10:00Z</cp:lastPrinted>
  <dcterms:modified xsi:type="dcterms:W3CDTF">2022-10-27T06:54:47Z</dcterms:modified>
  <dc:title>2020年澄江市“三公”经费决算情况说明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