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bookmarkStart w:id="1" w:name="_GoBack"/>
      <w:bookmarkEnd w:id="1"/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澄财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〔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〕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14"/>
          <w:sz w:val="44"/>
          <w:szCs w:val="44"/>
          <w:lang w:eastAsia="zh-CN"/>
        </w:rPr>
      </w:pPr>
      <w:bookmarkStart w:id="0" w:name="Title"/>
      <w:r>
        <w:rPr>
          <w:rFonts w:hint="default" w:ascii="Times New Roman" w:hAnsi="Times New Roman" w:eastAsia="方正小标宋_GBK" w:cs="Times New Roman"/>
          <w:spacing w:val="14"/>
          <w:sz w:val="44"/>
          <w:szCs w:val="44"/>
          <w:lang w:eastAsia="zh-CN"/>
        </w:rPr>
        <w:t>澄江市财政局</w:t>
      </w:r>
      <w:r>
        <w:rPr>
          <w:rFonts w:hint="default" w:ascii="Times New Roman" w:hAnsi="Times New Roman" w:eastAsia="方正小标宋_GBK" w:cs="Times New Roman"/>
          <w:spacing w:val="14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spacing w:val="14"/>
          <w:sz w:val="44"/>
          <w:szCs w:val="44"/>
          <w:lang w:eastAsia="zh-CN"/>
        </w:rPr>
        <w:t>澄江市农业农村局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14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pacing w:val="14"/>
          <w:sz w:val="44"/>
          <w:szCs w:val="44"/>
          <w:lang w:eastAsia="zh-CN"/>
        </w:rPr>
        <w:t>关于下达2022年省级财政衔接推进乡村振兴补助资金（</w:t>
      </w:r>
      <w:r>
        <w:rPr>
          <w:rFonts w:hint="default" w:ascii="Times New Roman" w:hAnsi="Times New Roman" w:eastAsia="方正小标宋_GBK" w:cs="Times New Roman"/>
          <w:spacing w:val="14"/>
          <w:sz w:val="44"/>
          <w:szCs w:val="44"/>
          <w:lang w:val="en-US" w:eastAsia="zh-CN"/>
        </w:rPr>
        <w:t>第一批</w:t>
      </w:r>
      <w:r>
        <w:rPr>
          <w:rFonts w:hint="default" w:ascii="Times New Roman" w:hAnsi="Times New Roman" w:eastAsia="方正小标宋_GBK" w:cs="Times New Roman"/>
          <w:spacing w:val="14"/>
          <w:sz w:val="44"/>
          <w:szCs w:val="44"/>
          <w:lang w:eastAsia="zh-CN"/>
        </w:rPr>
        <w:t>）的</w:t>
      </w:r>
      <w:bookmarkEnd w:id="0"/>
      <w:r>
        <w:rPr>
          <w:rFonts w:hint="default" w:ascii="Times New Roman" w:hAnsi="Times New Roman" w:eastAsia="方正小标宋_GBK" w:cs="Times New Roman"/>
          <w:spacing w:val="14"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海口镇、九村镇人民政府、财政所：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为保证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我市2022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cs="Times New Roman"/>
        </w:rPr>
        <w:t>巩固拓展脱贫攻坚成果同乡村振兴有效衔接项目建设的顺利进行，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根据《玉溪市财政局关于下达2022年省级财政衔接推进乡村振兴补助资金（巩固拓展脱贫攻坚成果和乡村振兴任务）的通知》（玉财农〔2022〕32号）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文件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精神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结合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《澄江市人民政府关于澄江市海口镇新村村委会2022年省级财政衔接推进乡村振兴补助资金项目—罗家松元小组农业产业区水浇地建设项目实施方案的批复》（澄政复〔2022〕35号）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《澄江市人民政府关于澄江市海口镇海境社区汉排小组2022年省级财政衔接推进乡村振兴补助资金项目实施方案的批复》（澄政复〔2022〕36号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）等3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批复，现将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省级财政衔接推进乡村振兴补助资金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153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下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达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给你们（详见附表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），并就相关事项通知如下：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精准使用资金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请</w:t>
      </w:r>
      <w:r>
        <w:rPr>
          <w:rFonts w:hint="eastAsia" w:cs="Times New Roman"/>
          <w:sz w:val="32"/>
          <w:szCs w:val="32"/>
          <w:lang w:val="en-US" w:eastAsia="zh-CN"/>
        </w:rPr>
        <w:t>海口、九村镇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项目实施方案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精准使用资金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资金使用紧紧围绕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委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政府确定的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年我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市巩固拓展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脱贫攻坚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成果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目标任务，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巩固脱贫攻坚成果、防止返贫致贫、建立农村低收入人口和欠发达地区监测帮扶机制，实现巩固拓展脱贫攻坚成果同乡村振兴有效衔接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，着力提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资金使用绩效，确保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巩固拓展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脱贫攻坚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成果和产业扶持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目标任务圆满完成。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加强项目及资金执行力度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cs="Times New Roman"/>
          <w:sz w:val="32"/>
          <w:szCs w:val="32"/>
          <w:lang w:val="en-US" w:eastAsia="zh-CN"/>
        </w:rPr>
        <w:t>海口、九村镇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要以目标为导向，加强项目及资金的执行力度，项目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批复后尽快组织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开工建设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，确保各项建设任务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如期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完成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资金拨付严格按照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《云南省财政衔接推进乡村振兴补助资金管理办法》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云财农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〔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〕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140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号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）执行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严格资金监管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（一）</w:t>
      </w:r>
      <w:r>
        <w:rPr>
          <w:rFonts w:hint="eastAsia" w:cs="Times New Roman"/>
          <w:sz w:val="32"/>
          <w:szCs w:val="32"/>
          <w:lang w:val="en-US" w:eastAsia="zh-CN"/>
        </w:rPr>
        <w:t>海口、九村镇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根据要求，及时对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项目建设内容及资金使用计划等信息进行公示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、公开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，项目建成经镇、街道验收后，对项目建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内容及资金使用情况等信息进行公告，公示公告可采用纸质粘贴、网站公布、手机信息等多种形式，通过公告公示，提高资金使用透明度，充分接受社会监督。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（二）</w:t>
      </w:r>
      <w:r>
        <w:rPr>
          <w:rFonts w:hint="eastAsia" w:cs="Times New Roman"/>
          <w:sz w:val="32"/>
          <w:szCs w:val="32"/>
          <w:lang w:val="en-US" w:eastAsia="zh-CN"/>
        </w:rPr>
        <w:t>海口、九村镇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需认真贯彻落实党中央、国务院关于“巩固拓展脱贫攻坚成果同乡村振兴有效衔接”有关精神，切实管好用好资金，充分发挥资金使用效益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</w:rPr>
      </w:pPr>
    </w:p>
    <w:p>
      <w:pPr>
        <w:ind w:left="1920" w:leftChars="200" w:hanging="1280" w:hangingChars="4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澄江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市2022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省级财政衔接推进乡村振兴补助资金分配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表</w:t>
      </w:r>
    </w:p>
    <w:p>
      <w:pPr>
        <w:ind w:left="1920" w:leftChars="500" w:hanging="320" w:hangingChars="100"/>
        <w:jc w:val="left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2.澄江市2022年省级财政衔接推进乡村振兴补助资金</w:t>
      </w:r>
      <w:r>
        <w:rPr>
          <w:rFonts w:hint="default" w:ascii="Times New Roman" w:hAnsi="Times New Roman" w:cs="Times New Roman"/>
          <w:lang w:val="en-US" w:eastAsia="zh-CN"/>
        </w:rPr>
        <w:t>建设项目</w:t>
      </w:r>
      <w:r>
        <w:rPr>
          <w:rFonts w:hint="default" w:ascii="Times New Roman" w:hAnsi="Times New Roman" w:eastAsia="方正仿宋_GBK" w:cs="Times New Roman"/>
          <w:lang w:val="en-US" w:eastAsia="zh-CN"/>
        </w:rPr>
        <w:t>绩效目标表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600" w:leftChars="50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600" w:firstLineChars="500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282828"/>
          <w:sz w:val="32"/>
          <w:szCs w:val="32"/>
          <w:lang w:eastAsia="zh-CN"/>
        </w:rPr>
        <w:t>澄江市财政局</w:t>
      </w:r>
      <w:r>
        <w:rPr>
          <w:rFonts w:hint="default" w:ascii="Times New Roman" w:hAnsi="Times New Roman" w:cs="Times New Roman"/>
          <w:color w:val="282828"/>
          <w:sz w:val="32"/>
          <w:szCs w:val="32"/>
          <w:lang w:val="en-US" w:eastAsia="zh-CN"/>
        </w:rPr>
        <w:t xml:space="preserve">       澄江市农业农村局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1280" w:rightChars="400"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  <w:t>年</w:t>
      </w:r>
      <w:r>
        <w:rPr>
          <w:rFonts w:hint="default" w:ascii="Times New Roman" w:hAnsi="Times New Roman" w:cs="Times New Roman"/>
          <w:color w:val="282828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282828"/>
          <w:sz w:val="32"/>
          <w:szCs w:val="32"/>
          <w:highlight w:val="none"/>
        </w:rPr>
        <w:t>月</w:t>
      </w:r>
      <w:r>
        <w:rPr>
          <w:rFonts w:hint="default" w:ascii="Times New Roman" w:hAnsi="Times New Roman" w:cs="Times New Roman"/>
          <w:color w:val="282828"/>
          <w:sz w:val="32"/>
          <w:szCs w:val="32"/>
          <w:highlight w:val="none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color w:val="282828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90" w:lineRule="exact"/>
        <w:ind w:right="640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282828"/>
          <w:sz w:val="24"/>
          <w:szCs w:val="24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color w:val="282828"/>
          <w:sz w:val="36"/>
          <w:szCs w:val="36"/>
        </w:rPr>
        <w:t xml:space="preserve">澄江市2022年省级财政衔接推进乡村振兴补助资金分配表  </w:t>
      </w:r>
      <w:r>
        <w:rPr>
          <w:rFonts w:hint="default" w:ascii="Times New Roman" w:hAnsi="Times New Roman" w:eastAsia="宋体" w:cs="Times New Roman"/>
          <w:color w:val="282828"/>
          <w:sz w:val="52"/>
          <w:szCs w:val="52"/>
          <w:vertAlign w:val="subscript"/>
        </w:rPr>
        <w:t>单位：万元</w:t>
      </w:r>
    </w:p>
    <w:tbl>
      <w:tblPr>
        <w:tblStyle w:val="8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1014"/>
        <w:gridCol w:w="2845"/>
        <w:gridCol w:w="900"/>
        <w:gridCol w:w="900"/>
        <w:gridCol w:w="983"/>
        <w:gridCol w:w="983"/>
        <w:gridCol w:w="1156"/>
        <w:gridCol w:w="1054"/>
        <w:gridCol w:w="1930"/>
        <w:gridCol w:w="17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街、镇</w:t>
            </w:r>
          </w:p>
        </w:tc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6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资金分配情况（万元）</w:t>
            </w:r>
          </w:p>
        </w:tc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政府预算分类科目</w:t>
            </w:r>
          </w:p>
        </w:tc>
        <w:tc>
          <w:tcPr>
            <w:tcW w:w="1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批复文件</w:t>
            </w:r>
          </w:p>
        </w:tc>
        <w:tc>
          <w:tcPr>
            <w:tcW w:w="1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巩固提升项目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产业扶持项目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138.75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4.44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海口镇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40.88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澄江市海口镇新村村委会2022年省级财政衔接推进乡村振兴补助资金项目-罗家松元小组农业产业区水浇地建设项目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40.88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2130505生产发展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50499其他资本性支出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澄政复〔2022〕35号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澄江市海口镇海镜社区汉排小组2022年省级财政衔接推进乡村振兴补助资金项目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0.29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2130504农村基础设施建设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50402基础设施建设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澄政复〔2022〕36号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项目总投资39.81万元，本次下达9.81万元，不足部分30万元用下一批省级衔接资金补足。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九村镇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97.87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2.93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澄江市九村镇七江村委会2022年省级财政衔接推进乡村振兴补助资金项目-七江花椒地产业区滴灌管网建设项目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97.87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2.93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2130505生产发展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50499其他资本性支出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澄政复〔2022〕37号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436" w:charSpace="0"/>
        </w:sectPr>
      </w:pPr>
    </w:p>
    <w:p>
      <w:pPr>
        <w:spacing w:line="590" w:lineRule="exact"/>
        <w:ind w:right="640"/>
        <w:rPr>
          <w:rFonts w:hint="default" w:ascii="Times New Roman" w:hAnsi="Times New Roman" w:eastAsia="方正黑体_GBK" w:cs="Times New Roman"/>
          <w:color w:val="282828"/>
          <w:sz w:val="24"/>
          <w:szCs w:val="24"/>
        </w:rPr>
      </w:pPr>
      <w:r>
        <w:rPr>
          <w:rFonts w:hint="default" w:ascii="Times New Roman" w:hAnsi="Times New Roman" w:eastAsia="方正黑体_GBK" w:cs="Times New Roman"/>
          <w:color w:val="282828"/>
          <w:sz w:val="24"/>
          <w:szCs w:val="24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282828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282828"/>
          <w:sz w:val="36"/>
          <w:szCs w:val="36"/>
          <w:lang w:val="en-US" w:eastAsia="zh-CN"/>
        </w:rPr>
        <w:t>澄江市2022年省级财政衔接推进乡村振兴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282828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282828"/>
          <w:sz w:val="36"/>
          <w:szCs w:val="36"/>
          <w:lang w:val="en-US" w:eastAsia="zh-CN"/>
        </w:rPr>
        <w:t>补助资金建设项目绩效目标表</w:t>
      </w:r>
    </w:p>
    <w:tbl>
      <w:tblPr>
        <w:tblStyle w:val="8"/>
        <w:tblW w:w="83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1270"/>
        <w:gridCol w:w="1211"/>
        <w:gridCol w:w="950"/>
        <w:gridCol w:w="1747"/>
        <w:gridCol w:w="21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2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0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41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年省级财政衔接推进乡村振兴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41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补助资金建设项目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市级财政主管部门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玉溪市财政局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市级主管部门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玉溪市乡村振兴局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县级财政部门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澄江市财政局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县级主管部门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澄江市乡村振兴局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7343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完成省级财政衔接推进乡村振兴补助资金基础设施建设项目1个、产业发展建设项目2个，进一步改善项目点群众的生产生活条件，巩固提升已脱贫贫困人口的脱贫质量，防止返贫情况现象的发生。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目标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产业资金投入率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&gt;=55%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资金支出率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项目资金公告公示率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完工项目验收合格率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项目开工率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项目完工率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农村居民人均可支配收入增幅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返贫、致贫风险人口监测覆盖率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返贫、致贫风险消除人口帮扶措施覆盖率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无规模性返贫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帮扶工作群众满意度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&gt;=90%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320" w:rightChars="100" w:firstLine="280" w:firstLineChars="1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82550</wp:posOffset>
                </wp:positionV>
                <wp:extent cx="5579745" cy="12700"/>
                <wp:effectExtent l="0" t="6350" r="1905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12700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4pt;margin-top:6.5pt;height:1pt;width:439.35pt;z-index:251662336;mso-width-relative:page;mso-height-relative:page;" filled="f" stroked="t" coordsize="21600,21600" o:gfxdata="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VE4dzWAAAACAEAAA8A&#10;AAAAAAAAAQAgAAAAIgAAAGRycy9kb3ducmV2LnhtbFBLAQIUABQAAAAIAIdO4kCz0HcW4AEAAJsD&#10;AAAOAAAAAAAAAAEAIAAAACUBAABkcnMvZTJvRG9jLnhtbFBLBQYAAAAABgAGAFkBAAB3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282828"/>
          <w:sz w:val="28"/>
          <w:szCs w:val="28"/>
          <w:lang w:eastAsia="zh-CN"/>
        </w:rPr>
        <w:t>抄送：本局预算股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320" w:rightChars="100" w:firstLine="280" w:firstLineChars="1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372110</wp:posOffset>
                </wp:positionV>
                <wp:extent cx="5579745" cy="12700"/>
                <wp:effectExtent l="0" t="6350" r="190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12700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4pt;margin-top:29.3pt;height:1pt;width:439.35pt;z-index:251663360;mso-width-relative:page;mso-height-relative:page;" filled="f" stroked="t" coordsize="21600,21600" o:gfxdata="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iB5xfWAAAACAEAAA8A&#10;AAAAAAAAAQAgAAAAIgAAAGRycy9kb3ducmV2LnhtbFBLAQIUABQAAAAIAIdO4kCVaF044AEAAJsD&#10;AAAOAAAAAAAAAAEAIAAAACUBAABkcnMvZTJvRG9jLnhtbFBLBQYAAAAABgAGAFkBAAB3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33655</wp:posOffset>
                </wp:positionV>
                <wp:extent cx="5579745" cy="889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8890"/>
                        </a:xfrm>
                        <a:prstGeom prst="line">
                          <a:avLst/>
                        </a:prstGeom>
                        <a:ln w="89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45pt;margin-top:2.65pt;height:0.7pt;width:439.35pt;z-index:251664384;mso-width-relative:page;mso-height-relative:page;" filled="f" stroked="t" coordsize="21600,21600" o:gfxdata="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lPNcbXAAAABgEAAA8A&#10;AAAAAAAAAQAgAAAAIgAAAGRycy9kb3ducmV2LnhtbFBLAQIUABQAAAAIAIdO4kBQ4D8m3wEAAJkD&#10;AAAOAAAAAAAAAAEAIAAAACYBAABkcnMvZTJvRG9jLnhtbFBLBQYAAAAABgAGAFkBAAB3BQAAAAA=&#10;">
                <v:fill on="f" focussize="0,0"/>
                <v:stroke weight="0.708582677165354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>澄江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财政局 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w:pict>
        <v:shape id="文本框 6" o:spid="_x0000_s2049" o:spt="202" type="#_x0000_t202" style="position:absolute;left:0pt;margin-left:462.05pt;margin-top:786.15pt;height:144pt;width:144pt;mso-position-horizontal-relative:page;mso-position-vertical-relative:page;mso-wrap-style:none;z-index:251659264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方正仿宋_GBK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w:pict>
        <v:shape id="文本框 7" o:spid="_x0000_s2050" o:spt="202" type="#_x0000_t202" style="position:absolute;left:0pt;margin-left:93.55pt;margin-top:786.15pt;height:144pt;width:144pt;mso-position-horizontal-relative:page;mso-position-vertical-relative:page;mso-wrap-style:none;z-index:251660288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方正仿宋_GBK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C1E28"/>
    <w:multiLevelType w:val="singleLevel"/>
    <w:tmpl w:val="5ACC1E2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57464"/>
    <w:rsid w:val="6855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方正仿宋_GBK" w:hAnsi="Courier New" w:cs="Courier New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page number"/>
    <w:basedOn w:val="10"/>
    <w:qFormat/>
    <w:uiPriority w:val="0"/>
    <w:rPr>
      <w:rFonts w:ascii="Times New Roman" w:hAnsi="Times New Roman" w:eastAsia="宋体" w:cs="Times New Roman"/>
    </w:rPr>
  </w:style>
  <w:style w:type="paragraph" w:customStyle="1" w:styleId="12">
    <w:name w:val=" Char Char Char Char Char Char Char"/>
    <w:basedOn w:val="1"/>
    <w:qFormat/>
    <w:uiPriority w:val="0"/>
    <w:rPr>
      <w:rFonts w:eastAsia="宋体"/>
      <w:sz w:val="21"/>
      <w:szCs w:val="24"/>
    </w:rPr>
  </w:style>
  <w:style w:type="paragraph" w:customStyle="1" w:styleId="13">
    <w:name w:val="Char Char1"/>
    <w:basedOn w:val="1"/>
    <w:qFormat/>
    <w:uiPriority w:val="0"/>
    <w:rPr>
      <w:rFonts w:eastAsia="宋体"/>
      <w:sz w:val="21"/>
      <w:szCs w:val="24"/>
    </w:rPr>
  </w:style>
  <w:style w:type="paragraph" w:customStyle="1" w:styleId="14">
    <w:name w:val="p15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15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u w:val="words" w:color="FFFFFF"/>
      <w:lang w:eastAsia="en-US"/>
    </w:rPr>
  </w:style>
  <w:style w:type="paragraph" w:customStyle="1" w:styleId="16">
    <w:name w:val="默认段落字体 Para Char Char Char Char Char Char Char"/>
    <w:basedOn w:val="1"/>
    <w:qFormat/>
    <w:uiPriority w:val="0"/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2050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玉溪市澄江县党政机关单位</Company>
  <Pages>4</Pages>
  <Words>972</Words>
  <Characters>1039</Characters>
  <Lines>0</Lines>
  <Paragraphs>0</Paragraphs>
  <TotalTime>0</TotalTime>
  <ScaleCrop>false</ScaleCrop>
  <LinksUpToDate>false</LinksUpToDate>
  <CharactersWithSpaces>1080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2021-01-20T07:53:00Z</dcterms:created>
  <dc:creator>Administrator</dc:creator>
  <cp:lastModifiedBy>Dell</cp:lastModifiedBy>
  <cp:lastPrinted>2021-01-26T01:51:00Z</cp:lastPrinted>
  <dcterms:modified xsi:type="dcterms:W3CDTF">2022-12-08T07:28:47Z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docranid">
    <vt:lpwstr>8E804650DD984AA7A4D22114D4DC8EA0</vt:lpwstr>
  </property>
  <property fmtid="{D5CDD505-2E9C-101B-9397-08002B2CF9AE}" pid="4" name="ICV">
    <vt:lpwstr>56F86C691B77435CBD86E3A5C926185F</vt:lpwstr>
  </property>
</Properties>
</file>