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玉溪高新技术产业开发区管理委员会2023年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预算重点领域财政项目文本公开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pacing w:val="16"/>
          <w:sz w:val="32"/>
          <w:szCs w:val="32"/>
          <w:lang w:val="en-US" w:eastAsia="zh-CN"/>
        </w:rPr>
      </w:pPr>
      <w:r>
        <w:rPr>
          <w:rFonts w:hint="eastAsia" w:ascii="仿宋" w:hAnsi="仿宋" w:eastAsia="仿宋" w:cs="仿宋"/>
          <w:spacing w:val="16"/>
          <w:sz w:val="32"/>
          <w:szCs w:val="32"/>
          <w:lang w:val="en-US" w:eastAsia="zh-CN"/>
        </w:rPr>
        <w:t>（龙泉片区党群活动服务中心建设项目）</w:t>
      </w:r>
    </w:p>
    <w:p>
      <w:pPr>
        <w:keepLines w:val="0"/>
        <w:pageBreakBefore w:val="0"/>
        <w:widowControl w:val="0"/>
        <w:kinsoku/>
        <w:wordWrap/>
        <w:overflowPunct/>
        <w:topLinePunct w:val="0"/>
        <w:autoSpaceDE/>
        <w:autoSpaceDN/>
        <w:bidi w:val="0"/>
        <w:adjustRightInd/>
        <w:snapToGrid/>
        <w:spacing w:before="101" w:line="240" w:lineRule="auto"/>
        <w:ind w:left="675"/>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z w:val="32"/>
          <w:szCs w:val="32"/>
        </w:rPr>
      </w:pPr>
      <w:r>
        <w:rPr>
          <w:rFonts w:hint="eastAsia" w:ascii="黑体" w:hAnsi="黑体" w:eastAsia="黑体" w:cs="黑体"/>
          <w:spacing w:val="-21"/>
          <w:sz w:val="32"/>
          <w:szCs w:val="32"/>
        </w:rPr>
        <w:t>一</w:t>
      </w:r>
      <w:r>
        <w:rPr>
          <w:rFonts w:hint="eastAsia" w:ascii="黑体" w:hAnsi="黑体" w:eastAsia="黑体" w:cs="黑体"/>
          <w:spacing w:val="-17"/>
          <w:sz w:val="32"/>
          <w:szCs w:val="32"/>
        </w:rPr>
        <w:t>、项目名称</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龙泉片区党群活动服务中心建设项目</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二、立项依据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ascii="仿宋" w:hAnsi="仿宋" w:eastAsia="仿宋" w:cs="仿宋"/>
          <w:sz w:val="31"/>
          <w:szCs w:val="31"/>
        </w:rPr>
      </w:pPr>
      <w:r>
        <w:rPr>
          <w:rFonts w:hint="eastAsia" w:ascii="Times New Roman" w:hAnsi="Times New Roman" w:eastAsia="方正仿宋_GBK" w:cs="Times New Roman"/>
          <w:color w:val="000000"/>
          <w:spacing w:val="0"/>
          <w:sz w:val="32"/>
          <w:szCs w:val="32"/>
          <w:lang w:val="en-US" w:eastAsia="zh-CN"/>
        </w:rPr>
        <w:t>项目依据玉溪高新区党工委会议决定，项目</w:t>
      </w:r>
      <w:r>
        <w:rPr>
          <w:rFonts w:hint="default" w:ascii="Times New Roman" w:hAnsi="Times New Roman" w:eastAsia="方正仿宋_GBK" w:cs="Times New Roman"/>
          <w:color w:val="000000"/>
          <w:spacing w:val="0"/>
          <w:sz w:val="32"/>
          <w:szCs w:val="32"/>
          <w:lang w:val="en-US" w:eastAsia="zh-CN"/>
        </w:rPr>
        <w:t>立项符合</w:t>
      </w:r>
      <w:r>
        <w:rPr>
          <w:rFonts w:hint="eastAsia" w:ascii="Times New Roman" w:hAnsi="Times New Roman" w:eastAsia="方正仿宋_GBK" w:cs="Times New Roman"/>
          <w:color w:val="000000"/>
          <w:spacing w:val="0"/>
          <w:sz w:val="32"/>
          <w:szCs w:val="32"/>
          <w:lang w:val="en-US" w:eastAsia="zh-CN"/>
        </w:rPr>
        <w:t>《关于玉溪市党群服务中心功能设置及运行基本标准的通知》（玉组通〔2019〕25号），充分发挥党群服务中心功能，夯实城市党建为民服务阵地，全面提升基层党组织为民服务的能力和水平。</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三、项目实施单位</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玉溪高新技术产业开发区管理委员会组织人事局</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龙泉片区党群活动服务中心，服务龙泉片区基层党组织、群团组织和人民群众，具备学习教育、社会服务等功能，按照玉溪市党群服务中心功能设置及运行基本标准建设，全面打造党建为民服务阵地。</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五、项目实施内容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按照玉溪市党群服务中心功能设置及运行基本标准建设龙泉片区党群活动服务中心，进行外观装饰及党建宣传板面设计制作，服务柜台、水、电、邮、组网设施配套，教育学习平台建设及办公设备等软更件配套，完善服务功能。</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六、资金安排情况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本项目</w:t>
      </w:r>
      <w:r>
        <w:rPr>
          <w:rFonts w:hint="eastAsia" w:ascii="Times New Roman" w:hAnsi="Times New Roman" w:eastAsia="方正仿宋_GBK" w:cs="Times New Roman"/>
          <w:color w:val="000000"/>
          <w:spacing w:val="0"/>
          <w:sz w:val="32"/>
          <w:szCs w:val="32"/>
          <w:lang w:val="en-US" w:eastAsia="zh-CN"/>
        </w:rPr>
        <w:t>计划投入200</w:t>
      </w:r>
      <w:r>
        <w:rPr>
          <w:rFonts w:hint="default" w:ascii="Times New Roman" w:hAnsi="Times New Roman" w:eastAsia="方正仿宋_GBK" w:cs="Times New Roman"/>
          <w:color w:val="000000"/>
          <w:spacing w:val="0"/>
          <w:sz w:val="32"/>
          <w:szCs w:val="32"/>
          <w:lang w:val="en-US" w:eastAsia="zh-CN"/>
        </w:rPr>
        <w:t>万元</w:t>
      </w:r>
      <w:r>
        <w:rPr>
          <w:rFonts w:hint="eastAsia" w:ascii="Times New Roman" w:hAnsi="Times New Roman" w:eastAsia="方正仿宋_GBK" w:cs="Times New Roman"/>
          <w:color w:val="000000"/>
          <w:spacing w:val="0"/>
          <w:sz w:val="32"/>
          <w:szCs w:val="32"/>
          <w:lang w:val="en-US" w:eastAsia="zh-CN"/>
        </w:rPr>
        <w:t>，由</w:t>
      </w:r>
      <w:r>
        <w:rPr>
          <w:rFonts w:hint="default" w:ascii="Times New Roman" w:hAnsi="Times New Roman" w:eastAsia="方正仿宋_GBK" w:cs="Times New Roman"/>
          <w:color w:val="000000"/>
          <w:spacing w:val="0"/>
          <w:sz w:val="32"/>
          <w:szCs w:val="32"/>
          <w:lang w:val="en-US" w:eastAsia="zh-CN"/>
        </w:rPr>
        <w:t>本级财政</w:t>
      </w:r>
      <w:r>
        <w:rPr>
          <w:rFonts w:hint="eastAsia" w:ascii="Times New Roman" w:hAnsi="Times New Roman" w:eastAsia="方正仿宋_GBK" w:cs="Times New Roman"/>
          <w:color w:val="000000"/>
          <w:spacing w:val="0"/>
          <w:sz w:val="32"/>
          <w:szCs w:val="32"/>
          <w:lang w:val="en-US" w:eastAsia="zh-CN"/>
        </w:rPr>
        <w:t>支出。</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2023年3－4月，项目选址和规划；</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2023年5－6月，施工布局和招投标；</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2023年7－12月，组织施工和验收。</w:t>
      </w:r>
    </w:p>
    <w:p>
      <w:pPr>
        <w:keepNext w:val="0"/>
        <w:keepLines w:val="0"/>
        <w:pageBreakBefore w:val="0"/>
        <w:widowControl w:val="0"/>
        <w:kinsoku/>
        <w:wordWrap/>
        <w:overflowPunct/>
        <w:topLinePunct w:val="0"/>
        <w:autoSpaceDE/>
        <w:autoSpaceDN/>
        <w:bidi w:val="0"/>
        <w:adjustRightInd/>
        <w:snapToGrid/>
        <w:spacing w:line="240" w:lineRule="auto"/>
        <w:ind w:left="675"/>
        <w:textAlignment w:val="auto"/>
        <w:rPr>
          <w:rFonts w:hint="eastAsia" w:ascii="黑体" w:hAnsi="黑体" w:eastAsia="黑体" w:cs="黑体"/>
          <w:spacing w:val="-21"/>
          <w:sz w:val="32"/>
          <w:szCs w:val="32"/>
        </w:rPr>
      </w:pPr>
      <w:r>
        <w:rPr>
          <w:rFonts w:hint="eastAsia" w:ascii="黑体" w:hAnsi="黑体" w:eastAsia="黑体" w:cs="黑体"/>
          <w:spacing w:val="-21"/>
          <w:sz w:val="32"/>
          <w:szCs w:val="32"/>
          <w:lang w:val="en-US" w:eastAsia="zh-CN"/>
        </w:rPr>
        <w:t>八、</w:t>
      </w:r>
      <w:r>
        <w:rPr>
          <w:rFonts w:hint="eastAsia" w:ascii="黑体" w:hAnsi="黑体" w:eastAsia="黑体" w:cs="黑体"/>
          <w:spacing w:val="-21"/>
          <w:sz w:val="32"/>
          <w:szCs w:val="32"/>
        </w:rPr>
        <w:t>项目实施成效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方正小标宋_GBK" w:hAnsi="方正小标宋_GBK" w:eastAsia="方正小标宋_GBK" w:cs="方正小标宋_GBK"/>
          <w:sz w:val="36"/>
          <w:szCs w:val="36"/>
          <w:lang w:val="en-US" w:eastAsia="zh-CN"/>
        </w:rPr>
      </w:pPr>
      <w:r>
        <w:rPr>
          <w:rFonts w:hint="eastAsia" w:ascii="Times New Roman" w:hAnsi="Times New Roman" w:eastAsia="方正仿宋_GBK" w:cs="Times New Roman"/>
          <w:color w:val="000000"/>
          <w:spacing w:val="0"/>
          <w:sz w:val="32"/>
          <w:szCs w:val="32"/>
          <w:lang w:val="en-US" w:eastAsia="zh-CN"/>
        </w:rPr>
        <w:t>按照中央、省市、高新区关于城市基层党建的部署安排，认真贯彻落实，统筹建设布局合理、功能完备、互联互通的党群服务中心。依照“党委领导、区域统筹、多方参与、共驻共建”的方式建设好基层服务群众的终点站——党群服务中心，以更好地发挥基层党组织政治引领、加强治理、凝聚力量、为民服务的功能。以党组织为核心，通过党群服务中心这条纽带，把辖区的资源整合起来，把分散的社会力量凝聚起来，齐心协力服务党员群众，实现以党组织为核心多组织介入与百姓需求的无缝对接的基层工作业态，进一步凝聚党心、政心与民心。绩效指标：项目建设=1个；资金投入≤200万元，合格率=100%。费用按照相关财政规定支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CF5AB3-A245-46D6-9BAE-F0EA00D387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B79AA992-59A8-4791-A341-3143638E0E82}"/>
  </w:font>
  <w:font w:name="仿宋">
    <w:panose1 w:val="02010609060101010101"/>
    <w:charset w:val="86"/>
    <w:family w:val="auto"/>
    <w:pitch w:val="default"/>
    <w:sig w:usb0="800002BF" w:usb1="38CF7CFA" w:usb2="00000016" w:usb3="00000000" w:csb0="00040001" w:csb1="00000000"/>
    <w:embedRegular r:id="rId3" w:fontKey="{0EE58538-0838-4BEE-AA5B-A8D0291DBA79}"/>
  </w:font>
  <w:font w:name="方正仿宋_GBK">
    <w:panose1 w:val="02000000000000000000"/>
    <w:charset w:val="86"/>
    <w:family w:val="auto"/>
    <w:pitch w:val="default"/>
    <w:sig w:usb0="A00002BF" w:usb1="38CF7CFA" w:usb2="00082016" w:usb3="00000000" w:csb0="00040001" w:csb1="00000000"/>
    <w:embedRegular r:id="rId4" w:fontKey="{3C1B2863-C5D5-43ED-9C67-F01FDDB2F1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GYxOGM2Mjk4ZDVlZGJiMmJiYmIxN2VmYjMwNjAifQ=="/>
  </w:docVars>
  <w:rsids>
    <w:rsidRoot w:val="35B5768E"/>
    <w:rsid w:val="036208AE"/>
    <w:rsid w:val="0ADE707E"/>
    <w:rsid w:val="0C591999"/>
    <w:rsid w:val="10FD4D24"/>
    <w:rsid w:val="11514FF1"/>
    <w:rsid w:val="1E0F684B"/>
    <w:rsid w:val="20835145"/>
    <w:rsid w:val="264B4D7A"/>
    <w:rsid w:val="280478D6"/>
    <w:rsid w:val="28FF2342"/>
    <w:rsid w:val="2EAD638D"/>
    <w:rsid w:val="35B5768E"/>
    <w:rsid w:val="36AC5B4A"/>
    <w:rsid w:val="385169D4"/>
    <w:rsid w:val="50416722"/>
    <w:rsid w:val="51A92A94"/>
    <w:rsid w:val="5F5811B0"/>
    <w:rsid w:val="69E96DB6"/>
    <w:rsid w:val="719A3A8C"/>
    <w:rsid w:val="7C65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spacing w:before="240" w:beforeLines="0" w:after="60" w:afterLines="0"/>
      <w:outlineLvl w:val="1"/>
    </w:pPr>
    <w:rPr>
      <w:rFonts w:ascii="Arial" w:hAnsi="Arial"/>
      <w:b/>
      <w:i/>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788</Words>
  <Characters>814</Characters>
  <Lines>0</Lines>
  <Paragraphs>0</Paragraphs>
  <TotalTime>5</TotalTime>
  <ScaleCrop>false</ScaleCrop>
  <LinksUpToDate>false</LinksUpToDate>
  <CharactersWithSpaces>814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2023-01-18T02:43:00Z</dcterms:created>
  <dc:creator>He</dc:creator>
  <cp:lastModifiedBy>He</cp:lastModifiedBy>
  <dcterms:modified xsi:type="dcterms:W3CDTF">2023-01-30T07:34:29Z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71100204A7B746A6B8903E0659FDCAEE</vt:lpwstr>
  </property>
</Properties>
</file>