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2"/>
          <w:w w:val="90"/>
          <w:sz w:val="32"/>
          <w:szCs w:val="3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华财农〔2023〕</w:t>
      </w:r>
      <w:r>
        <w:rPr>
          <w:rFonts w:hint="default" w:ascii="Times New Roman" w:hAnsi="Times New Roman" w:eastAsia="方正仿宋_GBK" w:cs="Times New Roman"/>
          <w:sz w:val="32"/>
          <w:szCs w:val="32"/>
          <w:lang w:val="en" w:eastAsia="zh-CN"/>
        </w:rPr>
        <w:t>40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0" w:name="OLE_LINK2"/>
      <w:bookmarkStart w:id="1" w:name="OLE_LINK6"/>
      <w:bookmarkStart w:id="2" w:name="OLE_LINK1"/>
      <w:bookmarkStart w:id="3" w:name="OLE_LINK7"/>
      <w:bookmarkStart w:id="4" w:name="OLE_LINK4"/>
      <w:bookmarkStart w:id="5" w:name="OLE_LINK5"/>
    </w:p>
    <w:bookmarkEnd w:id="0"/>
    <w:bookmarkEnd w:id="1"/>
    <w:bookmarkEnd w:id="2"/>
    <w:bookmarkEnd w:id="3"/>
    <w:p>
      <w:pPr>
        <w:spacing w:line="590" w:lineRule="exact"/>
        <w:jc w:val="center"/>
        <w:outlineLvl w:val="0"/>
        <w:rPr>
          <w:rFonts w:hint="default" w:ascii="Times New Roman" w:hAnsi="Times New Roman" w:eastAsia="方正小标宋_GBK" w:cs="Times New Roman"/>
          <w:b/>
          <w:spacing w:val="14"/>
          <w:sz w:val="44"/>
          <w:szCs w:val="44"/>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财政局关于下达</w:t>
      </w:r>
      <w:r>
        <w:rPr>
          <w:rFonts w:hint="default" w:ascii="Times New Roman" w:hAnsi="Times New Roman" w:eastAsia="方正小标宋_GBK" w:cs="Times New Roman"/>
          <w:sz w:val="44"/>
          <w:szCs w:val="44"/>
          <w:lang w:eastAsia="zh-CN"/>
        </w:rPr>
        <w:t>2023年省级财政衔接推进乡村振兴补助资金</w:t>
      </w:r>
      <w:r>
        <w:rPr>
          <w:rFonts w:hint="default" w:ascii="Times New Roman" w:hAnsi="Times New Roman" w:eastAsia="方正小标宋_GBK" w:cs="Times New Roman"/>
          <w:sz w:val="44"/>
          <w:szCs w:val="44"/>
        </w:rPr>
        <w:t>的通知</w:t>
      </w:r>
      <w:bookmarkEnd w:id="4"/>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中国共产党华宁县委员会统一战线工作部：</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《玉溪市财政局关于下达2023年省级财政衔接推进乡村振兴补助资金的通知》（玉财农〔</w:t>
      </w:r>
      <w:r>
        <w:rPr>
          <w:rFonts w:hint="default" w:ascii="Times New Roman" w:hAnsi="Times New Roman" w:eastAsia="方正仿宋_GBK" w:cs="Times New Roman"/>
          <w:sz w:val="32"/>
          <w:szCs w:val="32"/>
          <w:lang w:val="en-US" w:eastAsia="zh-CN" w:bidi="ar"/>
        </w:rPr>
        <w:t>202</w:t>
      </w:r>
      <w:r>
        <w:rPr>
          <w:rFonts w:hint="default" w:ascii="Times New Roman" w:hAnsi="Times New Roman" w:eastAsia="方正仿宋_GBK" w:cs="Times New Roman"/>
          <w:sz w:val="32"/>
          <w:szCs w:val="32"/>
          <w:lang w:val="en" w:eastAsia="zh-CN" w:bidi="ar"/>
        </w:rPr>
        <w:t>3</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5号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《华宁县人民政府关于2023 年省级衔接推进乡村振兴补助资金分配及项目实施方案的批复</w:t>
      </w:r>
      <w:r>
        <w:rPr>
          <w:rFonts w:hint="default" w:ascii="Times New Roman" w:hAnsi="Times New Roman" w:eastAsia="方正仿宋_GBK" w:cs="Times New Roman"/>
          <w:sz w:val="32"/>
          <w:szCs w:val="32"/>
          <w:lang w:val="en-US" w:eastAsia="zh-CN" w:bidi="ar"/>
        </w:rPr>
        <w:t>》(华政复〔2023〕</w:t>
      </w:r>
      <w:r>
        <w:rPr>
          <w:rFonts w:hint="default" w:ascii="Times New Roman" w:hAnsi="Times New Roman" w:eastAsia="方正仿宋_GBK" w:cs="Times New Roman"/>
          <w:sz w:val="32"/>
          <w:szCs w:val="32"/>
          <w:lang w:val="en" w:eastAsia="zh-CN" w:bidi="ar"/>
        </w:rPr>
        <w:t>10</w:t>
      </w:r>
      <w:r>
        <w:rPr>
          <w:rFonts w:hint="default" w:ascii="Times New Roman" w:hAnsi="Times New Roman" w:eastAsia="方正仿宋_GBK" w:cs="Times New Roman"/>
          <w:sz w:val="32"/>
          <w:szCs w:val="32"/>
          <w:lang w:val="en-US" w:eastAsia="zh-CN" w:bidi="ar"/>
        </w:rPr>
        <w:t>号)</w:t>
      </w:r>
      <w:r>
        <w:rPr>
          <w:rFonts w:hint="default" w:ascii="Times New Roman" w:hAnsi="Times New Roman" w:eastAsia="方正仿宋_GBK" w:cs="Times New Roman"/>
          <w:sz w:val="32"/>
          <w:szCs w:val="32"/>
          <w:lang w:eastAsia="zh-CN" w:bidi="ar"/>
        </w:rPr>
        <w:t>文件要求</w:t>
      </w:r>
      <w:r>
        <w:rPr>
          <w:rFonts w:hint="default" w:ascii="Times New Roman" w:hAnsi="Times New Roman" w:eastAsia="方正仿宋_GBK" w:cs="Times New Roman"/>
          <w:sz w:val="32"/>
          <w:szCs w:val="32"/>
          <w:lang w:bidi="ar"/>
        </w:rPr>
        <w:t>，现下达</w:t>
      </w:r>
      <w:r>
        <w:rPr>
          <w:rFonts w:hint="default" w:ascii="Times New Roman" w:hAnsi="Times New Roman" w:eastAsia="方正仿宋_GBK" w:cs="Times New Roman"/>
          <w:sz w:val="32"/>
          <w:szCs w:val="32"/>
          <w:lang w:eastAsia="zh-CN" w:bidi="ar"/>
        </w:rPr>
        <w:t>2023年省级财政衔接推进乡村振兴补助资金</w:t>
      </w:r>
      <w:r>
        <w:rPr>
          <w:rFonts w:hint="default" w:ascii="Times New Roman" w:hAnsi="Times New Roman" w:eastAsia="方正仿宋_GBK" w:cs="Times New Roman"/>
          <w:sz w:val="32"/>
          <w:szCs w:val="32"/>
          <w:lang w:val="en" w:eastAsia="zh-CN" w:bidi="ar"/>
        </w:rPr>
        <w:t>12</w:t>
      </w:r>
      <w:r>
        <w:rPr>
          <w:rFonts w:hint="default" w:ascii="Times New Roman" w:hAnsi="Times New Roman" w:eastAsia="方正仿宋_GBK" w:cs="Times New Roman"/>
          <w:sz w:val="32"/>
          <w:szCs w:val="32"/>
          <w:lang w:bidi="ar"/>
        </w:rPr>
        <w:t>万元（具体预算单位、金额、科目名称、预算项目详见附表）。</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pStyle w:val="2"/>
        <w:rPr>
          <w:rFonts w:hint="default" w:ascii="Times New Roman" w:hAnsi="Times New Roman" w:eastAsia="方正仿宋_GBK" w:cs="Times New Roman"/>
          <w:sz w:val="32"/>
          <w:szCs w:val="32"/>
          <w:lang w:eastAsia="zh-CN" w:bidi="ar"/>
        </w:rPr>
      </w:pPr>
    </w:p>
    <w:p>
      <w:pPr>
        <w:pStyle w:val="2"/>
        <w:rPr>
          <w:rFonts w:hint="default" w:ascii="Times New Roman" w:hAnsi="Times New Roman" w:eastAsia="方正仿宋_GBK" w:cs="Times New Roman"/>
          <w:sz w:val="32"/>
          <w:szCs w:val="32"/>
          <w:lang w:eastAsia="zh-CN" w:bidi="ar"/>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1、2023年省级财政衔接推进乡村振兴补助资金预算表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val="en-US" w:eastAsia="zh-CN" w:bidi="ar"/>
        </w:rPr>
        <w:t>2、2023年省级财政衔接推进乡村振兴补助资金绩效目标表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华宁县</w:t>
      </w:r>
      <w:r>
        <w:rPr>
          <w:sz w:val="32"/>
        </w:rPr>
        <w:pict>
          <v:shape id="_x0000_s1027" o:spid="_x0000_s1027" o:spt="201" alt="" type="#_x0000_t201" style="position:absolute;left:0pt;margin-left:260.65pt;margin-top:-39.85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lang w:val="en" w:eastAsia="zh-CN"/>
        </w:rPr>
        <w:t>3</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lang w:val="en" w:eastAsia="zh-CN"/>
        </w:rPr>
        <w:t>7</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0"/>
          <w:szCs w:val="40"/>
          <w:lang w:val="en-US" w:eastAsia="zh-CN"/>
        </w:rPr>
        <w:t>2023年省级财政衔接推进乡村振兴补助资金预算</w:t>
      </w:r>
      <w:r>
        <w:rPr>
          <w:rFonts w:hint="default" w:ascii="Times New Roman" w:hAnsi="Times New Roman" w:eastAsia="方正小标宋_GBK" w:cs="Times New Roman"/>
          <w:sz w:val="40"/>
          <w:szCs w:val="40"/>
        </w:rPr>
        <w:t>表</w:t>
      </w:r>
    </w:p>
    <w:tbl>
      <w:tblPr>
        <w:tblStyle w:val="6"/>
        <w:tblpPr w:leftFromText="180" w:rightFromText="180" w:vertAnchor="text" w:horzAnchor="page" w:tblpX="1828" w:tblpY="631"/>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8"/>
        <w:gridCol w:w="1869"/>
        <w:gridCol w:w="1856"/>
        <w:gridCol w:w="1727"/>
        <w:gridCol w:w="1759"/>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147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186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1856"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172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175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1007"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190001 中国共产党华宁县委员会统一战线工作部</w:t>
            </w:r>
          </w:p>
        </w:tc>
        <w:tc>
          <w:tcPr>
            <w:tcW w:w="147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2130599 其他巩固脱贫攻坚成果衔接乡村振兴支出</w:t>
            </w:r>
          </w:p>
        </w:tc>
        <w:tc>
          <w:tcPr>
            <w:tcW w:w="186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50205 委托业务费</w:t>
            </w:r>
          </w:p>
        </w:tc>
        <w:tc>
          <w:tcPr>
            <w:tcW w:w="1856"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311专项业务类</w:t>
            </w:r>
          </w:p>
        </w:tc>
        <w:tc>
          <w:tcPr>
            <w:tcW w:w="1727" w:type="dxa"/>
            <w:vAlign w:val="center"/>
          </w:tcPr>
          <w:p>
            <w:pPr>
              <w:spacing w:line="300" w:lineRule="exact"/>
              <w:jc w:val="both"/>
              <w:rPr>
                <w:rFonts w:hint="default" w:ascii="Times New Roman" w:hAnsi="Times New Roman" w:eastAsia="宋体" w:cs="Times New Roman"/>
                <w:lang w:val="en-US" w:eastAsia="zh-CN"/>
              </w:rPr>
            </w:pPr>
            <w:r>
              <w:rPr>
                <w:rFonts w:hint="default" w:ascii="Times New Roman" w:hAnsi="Times New Roman" w:eastAsia="宋体" w:cs="Times New Roman"/>
                <w:lang w:val="en" w:eastAsia="zh-CN"/>
              </w:rPr>
              <w:t>华宁县</w:t>
            </w:r>
            <w:r>
              <w:rPr>
                <w:rFonts w:hint="default" w:ascii="Times New Roman" w:hAnsi="Times New Roman" w:eastAsia="宋体" w:cs="Times New Roman"/>
                <w:lang w:val="en-US" w:eastAsia="zh-CN"/>
              </w:rPr>
              <w:t>2023年民族特需商品定点生产企业贷款贴息补助项目资金</w:t>
            </w:r>
          </w:p>
        </w:tc>
        <w:tc>
          <w:tcPr>
            <w:tcW w:w="1759"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2023年省级财政衔接推进乡村振兴补助资金</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 w:eastAsia="zh-CN"/>
              </w:rPr>
              <w:t>12</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259" w:type="dxa"/>
            <w:gridSpan w:val="6"/>
            <w:vAlign w:val="center"/>
          </w:tcPr>
          <w:p>
            <w:pPr>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合计</w:t>
            </w:r>
          </w:p>
        </w:tc>
        <w:tc>
          <w:tcPr>
            <w:tcW w:w="1485"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val="en" w:eastAsia="zh-CN"/>
              </w:rPr>
              <w:t>12</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0</w:t>
            </w:r>
            <w:r>
              <w:rPr>
                <w:rFonts w:hint="default" w:ascii="Times New Roman" w:hAnsi="Times New Roman" w:cs="Times New Roman"/>
              </w:rPr>
              <w:t>00.00</w:t>
            </w:r>
          </w:p>
        </w:tc>
        <w:tc>
          <w:tcPr>
            <w:tcW w:w="1007" w:type="dxa"/>
            <w:vAlign w:val="center"/>
          </w:tcPr>
          <w:p>
            <w:pPr>
              <w:spacing w:line="300" w:lineRule="exact"/>
              <w:jc w:val="center"/>
              <w:rPr>
                <w:rFonts w:hint="default" w:ascii="Times New Roman" w:hAnsi="Times New Roman" w:eastAsia="方正仿宋_GBK" w:cs="Times New Roman"/>
                <w:color w:val="000000"/>
                <w:sz w:val="21"/>
                <w:szCs w:val="21"/>
              </w:rPr>
            </w:pP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tbl>
      <w:tblPr>
        <w:tblStyle w:val="6"/>
        <w:tblW w:w="7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230"/>
        <w:gridCol w:w="1500"/>
        <w:gridCol w:w="1620"/>
        <w:gridCol w:w="148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795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7950" w:type="dxa"/>
            <w:gridSpan w:val="6"/>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华宁县2023年民族特需商品定点生产企业贷款贴息补助资金项目</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杨艳：18687782833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华宁县民宗局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为努力实现巩固拓展脱贫攻坚成果同乡振兴有效衔接，切实用好用活衔接资金，发挥资金效益，使我县民族特需商品定点生产企业尽早受益，发展壮大企业规模，服务少数民族群众，为我县打造“一都两区三基地”贡献企业力量，助力民族地区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补助资金支出率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项目资金公告公示率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年内项目完工率</w:t>
            </w:r>
          </w:p>
        </w:tc>
        <w:tc>
          <w:tcPr>
            <w:tcW w:w="13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3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3105" w:type="dxa"/>
            <w:gridSpan w:val="2"/>
            <w:tcBorders>
              <w:top w:val="single" w:color="000000" w:sz="4" w:space="0"/>
              <w:left w:val="single" w:color="000000" w:sz="4" w:space="0"/>
              <w:bottom w:val="single" w:color="000000" w:sz="4" w:space="0"/>
              <w:right w:val="nil"/>
            </w:tcBorders>
            <w:shd w:val="clear" w:color="000000"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定点企业经济增长率</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3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特需商品覆盖率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特需商品满意率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抄送：本局预算国库</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 xml:space="preserve">财政局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dit="forms" w:enforcement="1" w:cryptProviderType="rsaFull" w:cryptAlgorithmClass="hash" w:cryptAlgorithmType="typeAny" w:cryptAlgorithmSid="4" w:cryptSpinCount="0" w:hash="bywnaAtDVGnVNpImf1ps9L8M7Bw=" w:salt="HNpy78EFQGcHNCBnw6cbG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1B41DE"/>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0DAB67B7"/>
    <w:rsid w:val="13673C4E"/>
    <w:rsid w:val="147D107E"/>
    <w:rsid w:val="154A0B34"/>
    <w:rsid w:val="17452DA5"/>
    <w:rsid w:val="17B9B81B"/>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7CD911F"/>
    <w:rsid w:val="3A9F2FE8"/>
    <w:rsid w:val="3C6B0C5F"/>
    <w:rsid w:val="3D0E68F7"/>
    <w:rsid w:val="3FDBE52D"/>
    <w:rsid w:val="41524D2E"/>
    <w:rsid w:val="441A37D3"/>
    <w:rsid w:val="460F4DB2"/>
    <w:rsid w:val="46FD4AB7"/>
    <w:rsid w:val="47291516"/>
    <w:rsid w:val="47EF57E2"/>
    <w:rsid w:val="47FF9B22"/>
    <w:rsid w:val="4B5869BB"/>
    <w:rsid w:val="4B8725BB"/>
    <w:rsid w:val="4D0B020E"/>
    <w:rsid w:val="4E190719"/>
    <w:rsid w:val="521405B2"/>
    <w:rsid w:val="5437167A"/>
    <w:rsid w:val="556A5494"/>
    <w:rsid w:val="55C86D02"/>
    <w:rsid w:val="56847DB9"/>
    <w:rsid w:val="56B23EE3"/>
    <w:rsid w:val="5A71200C"/>
    <w:rsid w:val="5C497844"/>
    <w:rsid w:val="5C960873"/>
    <w:rsid w:val="5DEC6249"/>
    <w:rsid w:val="5F2E4200"/>
    <w:rsid w:val="5F5C0FE6"/>
    <w:rsid w:val="5F771CAB"/>
    <w:rsid w:val="613215AA"/>
    <w:rsid w:val="614A74F3"/>
    <w:rsid w:val="61E643DB"/>
    <w:rsid w:val="62582E28"/>
    <w:rsid w:val="65730378"/>
    <w:rsid w:val="66D718F3"/>
    <w:rsid w:val="67C055B0"/>
    <w:rsid w:val="67C4718E"/>
    <w:rsid w:val="680E6B20"/>
    <w:rsid w:val="69DE3E62"/>
    <w:rsid w:val="6B997CA1"/>
    <w:rsid w:val="6C2E46AC"/>
    <w:rsid w:val="702A24DF"/>
    <w:rsid w:val="716141D7"/>
    <w:rsid w:val="72B60684"/>
    <w:rsid w:val="73DD1208"/>
    <w:rsid w:val="77C9223D"/>
    <w:rsid w:val="77D4751C"/>
    <w:rsid w:val="77F70541"/>
    <w:rsid w:val="7BDE3E05"/>
    <w:rsid w:val="7F7D94AE"/>
    <w:rsid w:val="7FE0F283"/>
    <w:rsid w:val="7FFDD664"/>
    <w:rsid w:val="BBFF3A63"/>
    <w:rsid w:val="D9FF812C"/>
    <w:rsid w:val="F7FF9ED2"/>
    <w:rsid w:val="FE77E8DA"/>
    <w:rsid w:val="FEBD129C"/>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 w:type="character" w:customStyle="1" w:styleId="26">
    <w:name w:val="font131"/>
    <w:basedOn w:val="8"/>
    <w:qFormat/>
    <w:uiPriority w:val="0"/>
    <w:rPr>
      <w:rFonts w:hint="eastAsia" w:ascii="宋体" w:hAnsi="宋体" w:eastAsia="宋体" w:cs="宋体"/>
      <w:color w:val="000000"/>
      <w:sz w:val="22"/>
      <w:szCs w:val="22"/>
      <w:u w:val="none"/>
    </w:rPr>
  </w:style>
  <w:style w:type="character" w:customStyle="1" w:styleId="27">
    <w:name w:val="font15"/>
    <w:basedOn w:val="8"/>
    <w:qFormat/>
    <w:uiPriority w:val="0"/>
    <w:rPr>
      <w:rFonts w:hint="eastAsia" w:ascii="宋体" w:hAnsi="宋体" w:eastAsia="宋体" w:cs="宋体"/>
      <w:color w:val="000000"/>
      <w:sz w:val="20"/>
      <w:szCs w:val="20"/>
      <w:u w:val="none"/>
    </w:rPr>
  </w:style>
  <w:style w:type="character" w:customStyle="1" w:styleId="28">
    <w:name w:val="font41"/>
    <w:basedOn w:val="8"/>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0</TotalTime>
  <ScaleCrop>false</ScaleCrop>
  <LinksUpToDate>false</LinksUpToDate>
  <CharactersWithSpaces>357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2018-09-08T17:32:00Z</dcterms:created>
  <dc:creator>市财政局</dc:creator>
  <cp:lastModifiedBy>Administrator</cp:lastModifiedBy>
  <dcterms:modified xsi:type="dcterms:W3CDTF">2023-03-07T01:27:51Z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5B3D4777F149432499F228235568C993</vt:lpwstr>
  </property>
  <property fmtid="{D5CDD505-2E9C-101B-9397-08002B2CF9AE}" pid="4" name="docranid">
    <vt:lpwstr>88794F4B17D44362A967CD3E961B4E25</vt:lpwstr>
  </property>
</Properties>
</file>