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Arial" w:cs="Times New Roman"/>
          <w:b/>
          <w:sz w:val="36"/>
        </w:rPr>
      </w:pPr>
      <w:r>
        <w:rPr>
          <w:rFonts w:hint="default" w:ascii="Times New Roman" w:hAnsi="Times New Roman" w:eastAsia="Arial" w:cs="Times New Roman"/>
          <w:b/>
          <w:sz w:val="36"/>
        </w:rPr>
        <w:t>监督索引号53042600136002101000</w:t>
      </w:r>
    </w:p>
    <w:p>
      <w:pPr>
        <w:autoSpaceDE w:val="0"/>
        <w:autoSpaceDN w:val="0"/>
        <w:spacing w:line="580" w:lineRule="exact"/>
        <w:jc w:val="center"/>
        <w:rPr>
          <w:rFonts w:hint="default" w:ascii="Times New Roman" w:hAnsi="Times New Roman" w:eastAsia="方正小标宋简体" w:cs="Times New Roman"/>
          <w:sz w:val="36"/>
          <w:szCs w:val="36"/>
        </w:rPr>
      </w:pPr>
      <w:r>
        <w:rPr>
          <w:rFonts w:hint="default" w:ascii="Times New Roman" w:hAnsi="Times New Roman" w:eastAsia="方正小标宋简体" w:cs="Times New Roman"/>
          <w:sz w:val="36"/>
          <w:szCs w:val="36"/>
        </w:rPr>
        <w:t>峨山彝族自治县职业高级中学2022年度部门决算</w:t>
      </w:r>
    </w:p>
    <w:p>
      <w:pPr>
        <w:autoSpaceDE w:val="0"/>
        <w:autoSpaceDN w:val="0"/>
        <w:spacing w:line="580" w:lineRule="exact"/>
        <w:jc w:val="center"/>
        <w:rPr>
          <w:rFonts w:hint="default" w:ascii="Times New Roman" w:hAnsi="Times New Roman" w:cs="Times New Roman" w:eastAsiaTheme="minorEastAsia"/>
          <w:sz w:val="30"/>
          <w:szCs w:val="30"/>
        </w:rPr>
      </w:pPr>
      <w:r>
        <w:rPr>
          <w:rFonts w:hint="default" w:ascii="Times New Roman" w:hAnsi="Times New Roman" w:cs="Times New Roman" w:eastAsiaTheme="minorEastAsia"/>
          <w:sz w:val="30"/>
          <w:szCs w:val="30"/>
        </w:rPr>
        <w:t> </w:t>
      </w:r>
    </w:p>
    <w:p>
      <w:pPr>
        <w:autoSpaceDE w:val="0"/>
        <w:autoSpaceDN w:val="0"/>
        <w:spacing w:line="580" w:lineRule="exact"/>
        <w:jc w:val="center"/>
        <w:rPr>
          <w:rFonts w:hint="default" w:ascii="Times New Roman" w:hAnsi="Times New Roman" w:cs="Times New Roman" w:eastAsiaTheme="minorEastAsia"/>
          <w:sz w:val="30"/>
          <w:szCs w:val="30"/>
        </w:rPr>
      </w:pPr>
      <w:r>
        <w:rPr>
          <w:rFonts w:hint="default" w:ascii="Times New Roman" w:hAnsi="Times New Roman" w:cs="Times New Roman" w:eastAsiaTheme="minorEastAsia"/>
          <w:sz w:val="30"/>
          <w:szCs w:val="30"/>
        </w:rPr>
        <w:t>目录</w:t>
      </w:r>
    </w:p>
    <w:p>
      <w:pPr>
        <w:autoSpaceDE w:val="0"/>
        <w:autoSpaceDN w:val="0"/>
        <w:spacing w:line="580" w:lineRule="exact"/>
        <w:rPr>
          <w:rFonts w:hint="default" w:ascii="Times New Roman" w:hAnsi="Times New Roman" w:cs="Times New Roman" w:eastAsiaTheme="minorEastAsia"/>
          <w:sz w:val="30"/>
          <w:szCs w:val="30"/>
        </w:rPr>
      </w:pPr>
      <w:r>
        <w:rPr>
          <w:rFonts w:hint="default" w:ascii="Times New Roman" w:hAnsi="Times New Roman" w:cs="Times New Roman" w:eastAsiaTheme="minorEastAsia"/>
          <w:sz w:val="30"/>
          <w:szCs w:val="30"/>
        </w:rPr>
        <w:t>第一部分 峨山彝族自治县职业高级中学概况</w:t>
      </w:r>
    </w:p>
    <w:p>
      <w:pPr>
        <w:autoSpaceDE w:val="0"/>
        <w:autoSpaceDN w:val="0"/>
        <w:spacing w:line="580" w:lineRule="exact"/>
        <w:rPr>
          <w:rFonts w:hint="default" w:ascii="Times New Roman" w:hAnsi="Times New Roman" w:cs="Times New Roman" w:eastAsiaTheme="minorEastAsia"/>
          <w:sz w:val="30"/>
          <w:szCs w:val="30"/>
        </w:rPr>
      </w:pPr>
      <w:r>
        <w:rPr>
          <w:rFonts w:hint="default" w:ascii="Times New Roman" w:hAnsi="Times New Roman" w:cs="Times New Roman" w:eastAsiaTheme="minorEastAsia"/>
          <w:sz w:val="30"/>
          <w:szCs w:val="30"/>
        </w:rPr>
        <w:t>一、主要职能</w:t>
      </w:r>
    </w:p>
    <w:p>
      <w:pPr>
        <w:autoSpaceDE w:val="0"/>
        <w:autoSpaceDN w:val="0"/>
        <w:spacing w:line="580" w:lineRule="exact"/>
        <w:rPr>
          <w:rFonts w:hint="default" w:ascii="Times New Roman" w:hAnsi="Times New Roman" w:cs="Times New Roman" w:eastAsiaTheme="minorEastAsia"/>
          <w:sz w:val="30"/>
          <w:szCs w:val="30"/>
        </w:rPr>
      </w:pPr>
      <w:r>
        <w:rPr>
          <w:rFonts w:hint="default" w:ascii="Times New Roman" w:hAnsi="Times New Roman" w:cs="Times New Roman" w:eastAsiaTheme="minorEastAsia"/>
          <w:sz w:val="30"/>
          <w:szCs w:val="30"/>
        </w:rPr>
        <w:t>二、部门基本情况</w:t>
      </w:r>
    </w:p>
    <w:p>
      <w:pPr>
        <w:autoSpaceDE w:val="0"/>
        <w:autoSpaceDN w:val="0"/>
        <w:spacing w:line="580" w:lineRule="exact"/>
        <w:rPr>
          <w:rFonts w:hint="default" w:ascii="Times New Roman" w:hAnsi="Times New Roman" w:cs="Times New Roman" w:eastAsiaTheme="minorEastAsia"/>
          <w:sz w:val="30"/>
          <w:szCs w:val="30"/>
        </w:rPr>
      </w:pPr>
      <w:r>
        <w:rPr>
          <w:rFonts w:hint="default" w:ascii="Times New Roman" w:hAnsi="Times New Roman" w:cs="Times New Roman" w:eastAsiaTheme="minorEastAsia"/>
          <w:sz w:val="30"/>
          <w:szCs w:val="30"/>
        </w:rPr>
        <w:t>第二部分 2022年度部门决算表</w:t>
      </w:r>
    </w:p>
    <w:p>
      <w:pPr>
        <w:autoSpaceDE w:val="0"/>
        <w:autoSpaceDN w:val="0"/>
        <w:spacing w:line="580" w:lineRule="exact"/>
        <w:rPr>
          <w:rFonts w:hint="default" w:ascii="Times New Roman" w:hAnsi="Times New Roman" w:cs="Times New Roman" w:eastAsiaTheme="minorEastAsia"/>
          <w:sz w:val="30"/>
          <w:szCs w:val="30"/>
        </w:rPr>
      </w:pPr>
      <w:r>
        <w:rPr>
          <w:rFonts w:hint="default" w:ascii="Times New Roman" w:hAnsi="Times New Roman" w:cs="Times New Roman" w:eastAsiaTheme="minorEastAsia"/>
          <w:sz w:val="30"/>
          <w:szCs w:val="30"/>
        </w:rPr>
        <w:t>一、收入支出决算表</w:t>
      </w:r>
    </w:p>
    <w:p>
      <w:pPr>
        <w:autoSpaceDE w:val="0"/>
        <w:autoSpaceDN w:val="0"/>
        <w:spacing w:line="580" w:lineRule="exact"/>
        <w:rPr>
          <w:rFonts w:hint="default" w:ascii="Times New Roman" w:hAnsi="Times New Roman" w:cs="Times New Roman" w:eastAsiaTheme="minorEastAsia"/>
          <w:sz w:val="30"/>
          <w:szCs w:val="30"/>
        </w:rPr>
      </w:pPr>
      <w:r>
        <w:rPr>
          <w:rFonts w:hint="default" w:ascii="Times New Roman" w:hAnsi="Times New Roman" w:cs="Times New Roman" w:eastAsiaTheme="minorEastAsia"/>
          <w:sz w:val="30"/>
          <w:szCs w:val="30"/>
        </w:rPr>
        <w:t>二、收入决算表</w:t>
      </w:r>
    </w:p>
    <w:p>
      <w:pPr>
        <w:autoSpaceDE w:val="0"/>
        <w:autoSpaceDN w:val="0"/>
        <w:spacing w:line="580" w:lineRule="exact"/>
        <w:rPr>
          <w:rFonts w:hint="default" w:ascii="Times New Roman" w:hAnsi="Times New Roman" w:cs="Times New Roman" w:eastAsiaTheme="minorEastAsia"/>
          <w:sz w:val="30"/>
          <w:szCs w:val="30"/>
        </w:rPr>
      </w:pPr>
      <w:r>
        <w:rPr>
          <w:rFonts w:hint="default" w:ascii="Times New Roman" w:hAnsi="Times New Roman" w:cs="Times New Roman" w:eastAsiaTheme="minorEastAsia"/>
          <w:sz w:val="30"/>
          <w:szCs w:val="30"/>
        </w:rPr>
        <w:t>三、支出决算表</w:t>
      </w:r>
    </w:p>
    <w:p>
      <w:pPr>
        <w:autoSpaceDE w:val="0"/>
        <w:autoSpaceDN w:val="0"/>
        <w:spacing w:line="580" w:lineRule="exact"/>
        <w:rPr>
          <w:rFonts w:hint="default" w:ascii="Times New Roman" w:hAnsi="Times New Roman" w:cs="Times New Roman" w:eastAsiaTheme="minorEastAsia"/>
          <w:sz w:val="30"/>
          <w:szCs w:val="30"/>
        </w:rPr>
      </w:pPr>
      <w:r>
        <w:rPr>
          <w:rFonts w:hint="default" w:ascii="Times New Roman" w:hAnsi="Times New Roman" w:cs="Times New Roman" w:eastAsiaTheme="minorEastAsia"/>
          <w:sz w:val="30"/>
          <w:szCs w:val="30"/>
        </w:rPr>
        <w:t>四、财政拨款收入支出决算表</w:t>
      </w:r>
    </w:p>
    <w:p>
      <w:pPr>
        <w:autoSpaceDE w:val="0"/>
        <w:autoSpaceDN w:val="0"/>
        <w:spacing w:line="580" w:lineRule="exact"/>
        <w:rPr>
          <w:rFonts w:hint="default" w:ascii="Times New Roman" w:hAnsi="Times New Roman" w:cs="Times New Roman" w:eastAsiaTheme="minorEastAsia"/>
          <w:sz w:val="30"/>
          <w:szCs w:val="30"/>
        </w:rPr>
      </w:pPr>
      <w:r>
        <w:rPr>
          <w:rFonts w:hint="default" w:ascii="Times New Roman" w:hAnsi="Times New Roman" w:cs="Times New Roman" w:eastAsiaTheme="minorEastAsia"/>
          <w:sz w:val="30"/>
          <w:szCs w:val="30"/>
        </w:rPr>
        <w:t>五、一般公共预算财政拨款收入支出决算表</w:t>
      </w:r>
    </w:p>
    <w:p>
      <w:pPr>
        <w:autoSpaceDE w:val="0"/>
        <w:autoSpaceDN w:val="0"/>
        <w:spacing w:line="580" w:lineRule="exact"/>
        <w:rPr>
          <w:rFonts w:hint="default" w:ascii="Times New Roman" w:hAnsi="Times New Roman" w:cs="Times New Roman" w:eastAsiaTheme="minorEastAsia"/>
          <w:sz w:val="30"/>
          <w:szCs w:val="30"/>
        </w:rPr>
      </w:pPr>
      <w:r>
        <w:rPr>
          <w:rFonts w:hint="default" w:ascii="Times New Roman" w:hAnsi="Times New Roman" w:cs="Times New Roman" w:eastAsiaTheme="minorEastAsia"/>
          <w:sz w:val="30"/>
          <w:szCs w:val="30"/>
        </w:rPr>
        <w:t>六、一般公共预算财政拨款基本支出决算表</w:t>
      </w:r>
    </w:p>
    <w:p>
      <w:pPr>
        <w:autoSpaceDE w:val="0"/>
        <w:autoSpaceDN w:val="0"/>
        <w:spacing w:line="580" w:lineRule="exact"/>
        <w:rPr>
          <w:rFonts w:hint="default" w:ascii="Times New Roman" w:hAnsi="Times New Roman" w:cs="Times New Roman" w:eastAsiaTheme="minorEastAsia"/>
          <w:sz w:val="30"/>
          <w:szCs w:val="30"/>
        </w:rPr>
      </w:pPr>
      <w:r>
        <w:rPr>
          <w:rFonts w:hint="default" w:ascii="Times New Roman" w:hAnsi="Times New Roman" w:cs="Times New Roman" w:eastAsiaTheme="minorEastAsia"/>
          <w:sz w:val="30"/>
          <w:szCs w:val="30"/>
        </w:rPr>
        <w:t>七、一般公共预算财政拨款项目支出决算表</w:t>
      </w:r>
    </w:p>
    <w:p>
      <w:pPr>
        <w:autoSpaceDE w:val="0"/>
        <w:autoSpaceDN w:val="0"/>
        <w:spacing w:line="580" w:lineRule="exact"/>
        <w:rPr>
          <w:rFonts w:hint="default" w:ascii="Times New Roman" w:hAnsi="Times New Roman" w:cs="Times New Roman" w:eastAsiaTheme="minorEastAsia"/>
          <w:sz w:val="30"/>
          <w:szCs w:val="30"/>
        </w:rPr>
      </w:pPr>
      <w:r>
        <w:rPr>
          <w:rFonts w:hint="default" w:ascii="Times New Roman" w:hAnsi="Times New Roman" w:cs="Times New Roman" w:eastAsiaTheme="minorEastAsia"/>
          <w:sz w:val="30"/>
          <w:szCs w:val="30"/>
        </w:rPr>
        <w:t>八、政府性基金预算财政拨款收入支出决算表</w:t>
      </w:r>
    </w:p>
    <w:p>
      <w:pPr>
        <w:autoSpaceDE w:val="0"/>
        <w:autoSpaceDN w:val="0"/>
        <w:spacing w:line="580" w:lineRule="exact"/>
        <w:rPr>
          <w:rFonts w:hint="default" w:ascii="Times New Roman" w:hAnsi="Times New Roman" w:cs="Times New Roman" w:eastAsiaTheme="minorEastAsia"/>
          <w:sz w:val="30"/>
          <w:szCs w:val="30"/>
        </w:rPr>
      </w:pPr>
      <w:r>
        <w:rPr>
          <w:rFonts w:hint="default" w:ascii="Times New Roman" w:hAnsi="Times New Roman" w:cs="Times New Roman" w:eastAsiaTheme="minorEastAsia"/>
          <w:sz w:val="30"/>
          <w:szCs w:val="30"/>
        </w:rPr>
        <w:t>九、国有资本经营预算财政拨款收入支出决算表</w:t>
      </w:r>
    </w:p>
    <w:p>
      <w:pPr>
        <w:autoSpaceDE w:val="0"/>
        <w:autoSpaceDN w:val="0"/>
        <w:spacing w:line="580" w:lineRule="exact"/>
        <w:rPr>
          <w:rFonts w:hint="default" w:ascii="Times New Roman" w:hAnsi="Times New Roman" w:cs="Times New Roman" w:eastAsiaTheme="minorEastAsia"/>
          <w:sz w:val="30"/>
          <w:szCs w:val="30"/>
        </w:rPr>
      </w:pPr>
      <w:r>
        <w:rPr>
          <w:rFonts w:hint="default" w:ascii="Times New Roman" w:hAnsi="Times New Roman" w:cs="Times New Roman" w:eastAsiaTheme="minorEastAsia"/>
          <w:sz w:val="30"/>
          <w:szCs w:val="30"/>
        </w:rPr>
        <w:t>十、“三公”经费、行政参公单位机关运行经费情况表</w:t>
      </w:r>
    </w:p>
    <w:p>
      <w:pPr>
        <w:autoSpaceDE w:val="0"/>
        <w:autoSpaceDN w:val="0"/>
        <w:spacing w:line="580" w:lineRule="exact"/>
        <w:rPr>
          <w:rFonts w:hint="default" w:ascii="Times New Roman" w:hAnsi="Times New Roman" w:cs="Times New Roman" w:eastAsiaTheme="minorEastAsia"/>
          <w:sz w:val="30"/>
          <w:szCs w:val="30"/>
        </w:rPr>
      </w:pPr>
      <w:r>
        <w:rPr>
          <w:rFonts w:hint="default" w:ascii="Times New Roman" w:hAnsi="Times New Roman" w:cs="Times New Roman" w:eastAsiaTheme="minorEastAsia"/>
          <w:sz w:val="30"/>
          <w:szCs w:val="30"/>
        </w:rPr>
        <w:t>第三部分 2022年度部门决算情况说明</w:t>
      </w:r>
    </w:p>
    <w:p>
      <w:pPr>
        <w:autoSpaceDE w:val="0"/>
        <w:autoSpaceDN w:val="0"/>
        <w:spacing w:line="580" w:lineRule="exact"/>
        <w:rPr>
          <w:rFonts w:hint="default" w:ascii="Times New Roman" w:hAnsi="Times New Roman" w:cs="Times New Roman" w:eastAsiaTheme="minorEastAsia"/>
          <w:sz w:val="30"/>
          <w:szCs w:val="30"/>
        </w:rPr>
      </w:pPr>
      <w:r>
        <w:rPr>
          <w:rFonts w:hint="default" w:ascii="Times New Roman" w:hAnsi="Times New Roman" w:cs="Times New Roman" w:eastAsiaTheme="minorEastAsia"/>
          <w:sz w:val="30"/>
          <w:szCs w:val="30"/>
        </w:rPr>
        <w:t>一、收入决算情况说明</w:t>
      </w:r>
    </w:p>
    <w:p>
      <w:pPr>
        <w:autoSpaceDE w:val="0"/>
        <w:autoSpaceDN w:val="0"/>
        <w:spacing w:line="580" w:lineRule="exact"/>
        <w:rPr>
          <w:rFonts w:hint="default" w:ascii="Times New Roman" w:hAnsi="Times New Roman" w:cs="Times New Roman" w:eastAsiaTheme="minorEastAsia"/>
          <w:sz w:val="30"/>
          <w:szCs w:val="30"/>
        </w:rPr>
      </w:pPr>
      <w:r>
        <w:rPr>
          <w:rFonts w:hint="default" w:ascii="Times New Roman" w:hAnsi="Times New Roman" w:cs="Times New Roman" w:eastAsiaTheme="minorEastAsia"/>
          <w:sz w:val="30"/>
          <w:szCs w:val="30"/>
        </w:rPr>
        <w:t>二、支出决算情况说明</w:t>
      </w:r>
    </w:p>
    <w:p>
      <w:pPr>
        <w:autoSpaceDE w:val="0"/>
        <w:autoSpaceDN w:val="0"/>
        <w:spacing w:line="580" w:lineRule="exact"/>
        <w:rPr>
          <w:rFonts w:hint="default" w:ascii="Times New Roman" w:hAnsi="Times New Roman" w:cs="Times New Roman" w:eastAsiaTheme="minorEastAsia"/>
          <w:sz w:val="30"/>
          <w:szCs w:val="30"/>
        </w:rPr>
      </w:pPr>
      <w:r>
        <w:rPr>
          <w:rFonts w:hint="default" w:ascii="Times New Roman" w:hAnsi="Times New Roman" w:cs="Times New Roman" w:eastAsiaTheme="minorEastAsia"/>
          <w:sz w:val="30"/>
          <w:szCs w:val="30"/>
        </w:rPr>
        <w:t>三、一般公共预算财政拨款支出决算情况说明</w:t>
      </w:r>
    </w:p>
    <w:p>
      <w:pPr>
        <w:autoSpaceDE w:val="0"/>
        <w:autoSpaceDN w:val="0"/>
        <w:spacing w:line="580" w:lineRule="exact"/>
        <w:rPr>
          <w:rFonts w:hint="default" w:ascii="Times New Roman" w:hAnsi="Times New Roman" w:cs="Times New Roman" w:eastAsiaTheme="minorEastAsia"/>
          <w:sz w:val="30"/>
          <w:szCs w:val="30"/>
        </w:rPr>
      </w:pPr>
      <w:r>
        <w:rPr>
          <w:rFonts w:hint="default" w:ascii="Times New Roman" w:hAnsi="Times New Roman" w:cs="Times New Roman" w:eastAsiaTheme="minorEastAsia"/>
          <w:sz w:val="30"/>
          <w:szCs w:val="30"/>
        </w:rPr>
        <w:t>四、财政拨款“三公”经费支出决算情况说明</w:t>
      </w:r>
    </w:p>
    <w:p>
      <w:pPr>
        <w:autoSpaceDE w:val="0"/>
        <w:autoSpaceDN w:val="0"/>
        <w:spacing w:line="580" w:lineRule="exact"/>
        <w:rPr>
          <w:rFonts w:hint="default" w:ascii="Times New Roman" w:hAnsi="Times New Roman" w:cs="Times New Roman" w:eastAsiaTheme="minorEastAsia"/>
          <w:sz w:val="30"/>
          <w:szCs w:val="30"/>
        </w:rPr>
      </w:pPr>
      <w:r>
        <w:rPr>
          <w:rFonts w:hint="default" w:ascii="Times New Roman" w:hAnsi="Times New Roman" w:cs="Times New Roman" w:eastAsiaTheme="minorEastAsia"/>
          <w:sz w:val="30"/>
          <w:szCs w:val="30"/>
        </w:rPr>
        <w:t>第四部分 其他重要事项及相关口径情况说明</w:t>
      </w:r>
    </w:p>
    <w:p>
      <w:pPr>
        <w:autoSpaceDE w:val="0"/>
        <w:autoSpaceDN w:val="0"/>
        <w:spacing w:line="580" w:lineRule="exact"/>
        <w:rPr>
          <w:rFonts w:hint="default" w:ascii="Times New Roman" w:hAnsi="Times New Roman" w:cs="Times New Roman" w:eastAsiaTheme="minorEastAsia"/>
          <w:sz w:val="30"/>
          <w:szCs w:val="30"/>
        </w:rPr>
      </w:pPr>
      <w:r>
        <w:rPr>
          <w:rFonts w:hint="default" w:ascii="Times New Roman" w:hAnsi="Times New Roman" w:cs="Times New Roman" w:eastAsiaTheme="minorEastAsia"/>
          <w:sz w:val="30"/>
          <w:szCs w:val="30"/>
        </w:rPr>
        <w:t>一、机关运行经费支出情况</w:t>
      </w:r>
    </w:p>
    <w:p>
      <w:pPr>
        <w:autoSpaceDE w:val="0"/>
        <w:autoSpaceDN w:val="0"/>
        <w:spacing w:line="580" w:lineRule="exact"/>
        <w:rPr>
          <w:rFonts w:hint="default" w:ascii="Times New Roman" w:hAnsi="Times New Roman" w:cs="Times New Roman" w:eastAsiaTheme="minorEastAsia"/>
          <w:sz w:val="30"/>
          <w:szCs w:val="30"/>
        </w:rPr>
      </w:pPr>
      <w:r>
        <w:rPr>
          <w:rFonts w:hint="default" w:ascii="Times New Roman" w:hAnsi="Times New Roman" w:cs="Times New Roman" w:eastAsiaTheme="minorEastAsia"/>
          <w:sz w:val="30"/>
          <w:szCs w:val="30"/>
        </w:rPr>
        <w:t>二、国有资产占用情况</w:t>
      </w:r>
    </w:p>
    <w:p>
      <w:pPr>
        <w:autoSpaceDE w:val="0"/>
        <w:autoSpaceDN w:val="0"/>
        <w:spacing w:line="580" w:lineRule="exact"/>
        <w:rPr>
          <w:rFonts w:hint="default" w:ascii="Times New Roman" w:hAnsi="Times New Roman" w:cs="Times New Roman" w:eastAsiaTheme="minorEastAsia"/>
          <w:sz w:val="30"/>
          <w:szCs w:val="30"/>
        </w:rPr>
      </w:pPr>
      <w:r>
        <w:rPr>
          <w:rFonts w:hint="default" w:ascii="Times New Roman" w:hAnsi="Times New Roman" w:cs="Times New Roman" w:eastAsiaTheme="minorEastAsia"/>
          <w:sz w:val="30"/>
          <w:szCs w:val="30"/>
        </w:rPr>
        <w:t>三、政府采购支出情况</w:t>
      </w:r>
    </w:p>
    <w:p>
      <w:pPr>
        <w:autoSpaceDE w:val="0"/>
        <w:autoSpaceDN w:val="0"/>
        <w:spacing w:line="580" w:lineRule="exact"/>
        <w:rPr>
          <w:rFonts w:hint="default" w:ascii="Times New Roman" w:hAnsi="Times New Roman" w:cs="Times New Roman" w:eastAsiaTheme="minorEastAsia"/>
          <w:sz w:val="30"/>
          <w:szCs w:val="30"/>
        </w:rPr>
      </w:pPr>
      <w:r>
        <w:rPr>
          <w:rFonts w:hint="default" w:ascii="Times New Roman" w:hAnsi="Times New Roman" w:cs="Times New Roman" w:eastAsiaTheme="minorEastAsia"/>
          <w:sz w:val="30"/>
          <w:szCs w:val="30"/>
        </w:rPr>
        <w:t>四、部门绩效自评情况</w:t>
      </w:r>
    </w:p>
    <w:p>
      <w:pPr>
        <w:autoSpaceDE w:val="0"/>
        <w:autoSpaceDN w:val="0"/>
        <w:spacing w:line="580" w:lineRule="exact"/>
        <w:rPr>
          <w:rFonts w:hint="default" w:ascii="Times New Roman" w:hAnsi="Times New Roman" w:cs="Times New Roman" w:eastAsiaTheme="minorEastAsia"/>
          <w:sz w:val="30"/>
          <w:szCs w:val="30"/>
        </w:rPr>
      </w:pPr>
      <w:r>
        <w:rPr>
          <w:rFonts w:hint="default" w:ascii="Times New Roman" w:hAnsi="Times New Roman" w:cs="Times New Roman" w:eastAsiaTheme="minorEastAsia"/>
          <w:sz w:val="30"/>
          <w:szCs w:val="30"/>
        </w:rPr>
        <w:t>（一）部门整体支出绩效自评情况</w:t>
      </w:r>
    </w:p>
    <w:p>
      <w:pPr>
        <w:autoSpaceDE w:val="0"/>
        <w:autoSpaceDN w:val="0"/>
        <w:spacing w:line="580" w:lineRule="exact"/>
        <w:rPr>
          <w:rFonts w:hint="default" w:ascii="Times New Roman" w:hAnsi="Times New Roman" w:cs="Times New Roman" w:eastAsiaTheme="minorEastAsia"/>
          <w:sz w:val="30"/>
          <w:szCs w:val="30"/>
        </w:rPr>
      </w:pPr>
      <w:r>
        <w:rPr>
          <w:rFonts w:hint="default" w:ascii="Times New Roman" w:hAnsi="Times New Roman" w:cs="Times New Roman" w:eastAsiaTheme="minorEastAsia"/>
          <w:sz w:val="30"/>
          <w:szCs w:val="30"/>
        </w:rPr>
        <w:t>（二）部门整体支出绩效自评表</w:t>
      </w:r>
    </w:p>
    <w:p>
      <w:pPr>
        <w:autoSpaceDE w:val="0"/>
        <w:autoSpaceDN w:val="0"/>
        <w:spacing w:line="580" w:lineRule="exact"/>
        <w:rPr>
          <w:rFonts w:hint="default" w:ascii="Times New Roman" w:hAnsi="Times New Roman" w:cs="Times New Roman" w:eastAsiaTheme="minorEastAsia"/>
          <w:sz w:val="30"/>
          <w:szCs w:val="30"/>
        </w:rPr>
      </w:pPr>
      <w:r>
        <w:rPr>
          <w:rFonts w:hint="default" w:ascii="Times New Roman" w:hAnsi="Times New Roman" w:cs="Times New Roman" w:eastAsiaTheme="minorEastAsia"/>
          <w:sz w:val="30"/>
          <w:szCs w:val="30"/>
        </w:rPr>
        <w:t>（三）项目支出绩效自评表</w:t>
      </w:r>
    </w:p>
    <w:p>
      <w:pPr>
        <w:autoSpaceDE w:val="0"/>
        <w:autoSpaceDN w:val="0"/>
        <w:spacing w:line="580" w:lineRule="exact"/>
        <w:rPr>
          <w:rFonts w:hint="default" w:ascii="Times New Roman" w:hAnsi="Times New Roman" w:cs="Times New Roman" w:eastAsiaTheme="minorEastAsia"/>
          <w:sz w:val="30"/>
          <w:szCs w:val="30"/>
        </w:rPr>
      </w:pPr>
      <w:r>
        <w:rPr>
          <w:rFonts w:hint="default" w:ascii="Times New Roman" w:hAnsi="Times New Roman" w:cs="Times New Roman" w:eastAsiaTheme="minorEastAsia"/>
          <w:sz w:val="30"/>
          <w:szCs w:val="30"/>
        </w:rPr>
        <w:t>五、其他重要事项情况说明</w:t>
      </w:r>
    </w:p>
    <w:p>
      <w:pPr>
        <w:autoSpaceDE w:val="0"/>
        <w:autoSpaceDN w:val="0"/>
        <w:spacing w:line="580" w:lineRule="exact"/>
        <w:rPr>
          <w:rFonts w:hint="default" w:ascii="Times New Roman" w:hAnsi="Times New Roman" w:cs="Times New Roman" w:eastAsiaTheme="minorEastAsia"/>
          <w:sz w:val="30"/>
          <w:szCs w:val="30"/>
        </w:rPr>
      </w:pPr>
      <w:r>
        <w:rPr>
          <w:rFonts w:hint="default" w:ascii="Times New Roman" w:hAnsi="Times New Roman" w:cs="Times New Roman" w:eastAsiaTheme="minorEastAsia"/>
          <w:sz w:val="30"/>
          <w:szCs w:val="30"/>
        </w:rPr>
        <w:t>六、相关口径说明</w:t>
      </w:r>
    </w:p>
    <w:p>
      <w:pPr>
        <w:autoSpaceDE w:val="0"/>
        <w:autoSpaceDN w:val="0"/>
        <w:spacing w:line="580" w:lineRule="exact"/>
        <w:rPr>
          <w:rFonts w:hint="default" w:ascii="Times New Roman" w:hAnsi="Times New Roman" w:cs="Times New Roman" w:eastAsiaTheme="minorEastAsia"/>
          <w:sz w:val="30"/>
          <w:szCs w:val="30"/>
        </w:rPr>
      </w:pPr>
      <w:r>
        <w:rPr>
          <w:rFonts w:hint="default" w:ascii="Times New Roman" w:hAnsi="Times New Roman" w:cs="Times New Roman" w:eastAsiaTheme="minorEastAsia"/>
          <w:sz w:val="30"/>
          <w:szCs w:val="30"/>
        </w:rPr>
        <w:t>第五部分 名词解释</w:t>
      </w:r>
    </w:p>
    <w:p>
      <w:pPr>
        <w:autoSpaceDE w:val="0"/>
        <w:autoSpaceDN w:val="0"/>
        <w:spacing w:line="580" w:lineRule="exact"/>
        <w:rPr>
          <w:rFonts w:hint="default" w:ascii="Times New Roman" w:hAnsi="Times New Roman" w:cs="Times New Roman" w:eastAsiaTheme="minorEastAsia"/>
          <w:sz w:val="30"/>
          <w:szCs w:val="30"/>
        </w:rPr>
      </w:pPr>
    </w:p>
    <w:p>
      <w:pPr>
        <w:autoSpaceDE w:val="0"/>
        <w:autoSpaceDN w:val="0"/>
        <w:spacing w:line="580" w:lineRule="exact"/>
        <w:rPr>
          <w:rFonts w:hint="default" w:ascii="Times New Roman" w:hAnsi="Times New Roman" w:cs="Times New Roman" w:eastAsiaTheme="minorEastAsia"/>
          <w:sz w:val="30"/>
          <w:szCs w:val="30"/>
        </w:rPr>
      </w:pPr>
    </w:p>
    <w:p>
      <w:pPr>
        <w:autoSpaceDE w:val="0"/>
        <w:autoSpaceDN w:val="0"/>
        <w:spacing w:line="580" w:lineRule="exact"/>
        <w:jc w:val="center"/>
        <w:rPr>
          <w:rFonts w:hint="default" w:ascii="Times New Roman" w:hAnsi="Times New Roman" w:cs="Times New Roman" w:eastAsiaTheme="minorEastAsia"/>
          <w:sz w:val="30"/>
          <w:szCs w:val="30"/>
        </w:rPr>
      </w:pPr>
      <w:r>
        <w:rPr>
          <w:rFonts w:hint="default" w:ascii="Times New Roman" w:hAnsi="Times New Roman" w:cs="Times New Roman" w:eastAsiaTheme="minorEastAsia"/>
          <w:sz w:val="30"/>
          <w:szCs w:val="30"/>
        </w:rPr>
        <w:t>第一部分 峨山彝族自治县职业高级中学概况</w:t>
      </w:r>
    </w:p>
    <w:p>
      <w:pPr>
        <w:autoSpaceDE w:val="0"/>
        <w:autoSpaceDN w:val="0"/>
        <w:spacing w:line="580" w:lineRule="exact"/>
        <w:ind w:firstLine="600"/>
        <w:rPr>
          <w:rFonts w:hint="default" w:ascii="Times New Roman" w:hAnsi="Times New Roman" w:cs="Times New Roman" w:eastAsiaTheme="minorEastAsia"/>
          <w:sz w:val="30"/>
          <w:szCs w:val="30"/>
        </w:rPr>
      </w:pPr>
      <w:r>
        <w:rPr>
          <w:rFonts w:hint="default" w:ascii="Times New Roman" w:hAnsi="Times New Roman" w:cs="Times New Roman" w:eastAsiaTheme="minorEastAsia"/>
          <w:sz w:val="30"/>
          <w:szCs w:val="30"/>
        </w:rPr>
        <w:t>一、主要职能</w:t>
      </w:r>
    </w:p>
    <w:p>
      <w:pPr>
        <w:autoSpaceDE w:val="0"/>
        <w:autoSpaceDN w:val="0"/>
        <w:spacing w:line="580" w:lineRule="exact"/>
        <w:ind w:firstLine="600"/>
        <w:rPr>
          <w:rFonts w:hint="default" w:ascii="Times New Roman" w:hAnsi="Times New Roman" w:cs="Times New Roman" w:eastAsiaTheme="minorEastAsia"/>
          <w:sz w:val="30"/>
          <w:szCs w:val="30"/>
        </w:rPr>
      </w:pPr>
      <w:r>
        <w:rPr>
          <w:rFonts w:hint="default" w:ascii="Times New Roman" w:hAnsi="Times New Roman" w:cs="Times New Roman" w:eastAsiaTheme="minorEastAsia"/>
          <w:sz w:val="30"/>
          <w:szCs w:val="30"/>
        </w:rPr>
        <w:t>（一）主要职能</w:t>
      </w:r>
    </w:p>
    <w:p>
      <w:pPr>
        <w:widowControl w:val="0"/>
        <w:snapToGrid w:val="0"/>
        <w:spacing w:line="580" w:lineRule="exact"/>
        <w:ind w:firstLine="600" w:firstLineChars="200"/>
        <w:jc w:val="both"/>
        <w:rPr>
          <w:rFonts w:hint="default" w:ascii="Times New Roman" w:hAnsi="Times New Roman" w:cs="Times New Roman" w:eastAsiaTheme="minorEastAsia"/>
          <w:sz w:val="30"/>
          <w:szCs w:val="30"/>
        </w:rPr>
      </w:pPr>
      <w:r>
        <w:rPr>
          <w:rFonts w:hint="default" w:ascii="Times New Roman" w:hAnsi="Times New Roman" w:cs="Times New Roman" w:eastAsiaTheme="minorEastAsia"/>
          <w:sz w:val="30"/>
          <w:szCs w:val="30"/>
        </w:rPr>
        <w:t>培养高中、初中学历技术应用人才，提高社会职业素质。文秘、财会、微机等专业高中、初中学历教育相关职业培训机构情况。</w:t>
      </w:r>
    </w:p>
    <w:p>
      <w:pPr>
        <w:autoSpaceDE w:val="0"/>
        <w:autoSpaceDN w:val="0"/>
        <w:spacing w:line="580" w:lineRule="exact"/>
        <w:ind w:firstLine="600"/>
        <w:rPr>
          <w:rFonts w:hint="default" w:ascii="Times New Roman" w:hAnsi="Times New Roman" w:cs="Times New Roman" w:eastAsiaTheme="minorEastAsia"/>
          <w:sz w:val="30"/>
          <w:szCs w:val="30"/>
        </w:rPr>
      </w:pPr>
      <w:r>
        <w:rPr>
          <w:rFonts w:hint="default" w:ascii="Times New Roman" w:hAnsi="Times New Roman" w:cs="Times New Roman" w:eastAsiaTheme="minorEastAsia"/>
          <w:sz w:val="30"/>
          <w:szCs w:val="30"/>
        </w:rPr>
        <w:t>（二）2022年度重点工作任务概述</w:t>
      </w:r>
    </w:p>
    <w:p>
      <w:pPr>
        <w:autoSpaceDE w:val="0"/>
        <w:autoSpaceDN w:val="0"/>
        <w:spacing w:line="580" w:lineRule="exact"/>
        <w:ind w:firstLine="600" w:firstLineChars="200"/>
        <w:rPr>
          <w:rFonts w:hint="default" w:ascii="Times New Roman" w:hAnsi="Times New Roman" w:cs="Times New Roman" w:eastAsiaTheme="minorEastAsia"/>
          <w:sz w:val="30"/>
          <w:szCs w:val="30"/>
        </w:rPr>
      </w:pPr>
      <w:r>
        <w:rPr>
          <w:rFonts w:hint="default" w:ascii="Times New Roman" w:hAnsi="Times New Roman" w:cs="Times New Roman" w:eastAsiaTheme="minorEastAsia"/>
          <w:sz w:val="30"/>
          <w:szCs w:val="30"/>
        </w:rPr>
        <w:t>在学校党政领导班子的带领下，以发展为主题，全面贯彻“以服务为宗旨，以就业为导向”的职业教育办学方针，坚持“抓管理促就业，抓就业促招生，抓招生促发展”的办学理念，凝心聚力，真抓实干，创造机遇谋求发展，重视教职工职业道德建设，着力强化学生德育管理，紧抓教学管理，突出三校生高考班管理，认真落实学校安全管理措施，学校各项工作取得了较为突出的成绩，保持了学校良好的发展势头。</w:t>
      </w:r>
    </w:p>
    <w:p>
      <w:pPr>
        <w:autoSpaceDE w:val="0"/>
        <w:autoSpaceDN w:val="0"/>
        <w:spacing w:line="580" w:lineRule="exact"/>
        <w:ind w:firstLine="600"/>
        <w:rPr>
          <w:rFonts w:hint="default" w:ascii="Times New Roman" w:hAnsi="Times New Roman" w:cs="Times New Roman" w:eastAsiaTheme="minorEastAsia"/>
          <w:sz w:val="30"/>
          <w:szCs w:val="30"/>
        </w:rPr>
      </w:pPr>
      <w:r>
        <w:rPr>
          <w:rFonts w:hint="default" w:ascii="Times New Roman" w:hAnsi="Times New Roman" w:cs="Times New Roman" w:eastAsiaTheme="minorEastAsia"/>
          <w:sz w:val="30"/>
          <w:szCs w:val="30"/>
        </w:rPr>
        <w:t>二、部门基本情况</w:t>
      </w:r>
    </w:p>
    <w:p>
      <w:pPr>
        <w:autoSpaceDE w:val="0"/>
        <w:autoSpaceDN w:val="0"/>
        <w:spacing w:line="580" w:lineRule="exact"/>
        <w:ind w:firstLine="600"/>
        <w:rPr>
          <w:rFonts w:hint="default" w:ascii="Times New Roman" w:hAnsi="Times New Roman" w:cs="Times New Roman" w:eastAsiaTheme="minorEastAsia"/>
          <w:sz w:val="30"/>
          <w:szCs w:val="30"/>
        </w:rPr>
      </w:pPr>
      <w:r>
        <w:rPr>
          <w:rFonts w:hint="default" w:ascii="Times New Roman" w:hAnsi="Times New Roman" w:cs="Times New Roman" w:eastAsiaTheme="minorEastAsia"/>
          <w:sz w:val="30"/>
          <w:szCs w:val="30"/>
        </w:rPr>
        <w:t>（一）机构设置情况</w:t>
      </w:r>
    </w:p>
    <w:p>
      <w:pPr>
        <w:autoSpaceDE w:val="0"/>
        <w:autoSpaceDN w:val="0"/>
        <w:spacing w:line="580" w:lineRule="exact"/>
        <w:ind w:firstLine="600"/>
        <w:rPr>
          <w:rFonts w:hint="eastAsia" w:ascii="Times New Roman" w:hAnsi="Times New Roman" w:cs="Times New Roman" w:eastAsiaTheme="minorEastAsia"/>
          <w:sz w:val="30"/>
          <w:szCs w:val="30"/>
          <w:lang w:eastAsia="zh-CN"/>
        </w:rPr>
      </w:pPr>
      <w:r>
        <w:rPr>
          <w:rFonts w:hint="default" w:ascii="Times New Roman" w:hAnsi="Times New Roman" w:cs="Times New Roman" w:eastAsiaTheme="minorEastAsia"/>
          <w:sz w:val="30"/>
          <w:szCs w:val="30"/>
        </w:rPr>
        <w:t>我部门共设置7个内设机构，包括：办公室、教务处、教科室、招生就业办、德育处、安全处、总务处</w:t>
      </w:r>
      <w:r>
        <w:rPr>
          <w:rFonts w:hint="eastAsia" w:ascii="Times New Roman" w:hAnsi="Times New Roman" w:cs="Times New Roman" w:eastAsiaTheme="minorEastAsia"/>
          <w:sz w:val="30"/>
          <w:szCs w:val="30"/>
          <w:lang w:eastAsia="zh-CN"/>
        </w:rPr>
        <w:t>。</w:t>
      </w:r>
    </w:p>
    <w:p>
      <w:pPr>
        <w:autoSpaceDE w:val="0"/>
        <w:autoSpaceDN w:val="0"/>
        <w:spacing w:line="580" w:lineRule="exact"/>
        <w:ind w:firstLine="600"/>
        <w:rPr>
          <w:rFonts w:hint="default" w:ascii="Times New Roman" w:hAnsi="Times New Roman" w:cs="Times New Roman" w:eastAsiaTheme="minorEastAsia"/>
          <w:sz w:val="30"/>
          <w:szCs w:val="30"/>
        </w:rPr>
      </w:pPr>
      <w:r>
        <w:rPr>
          <w:rFonts w:hint="default" w:ascii="Times New Roman" w:hAnsi="Times New Roman" w:cs="Times New Roman" w:eastAsiaTheme="minorEastAsia"/>
          <w:sz w:val="30"/>
          <w:szCs w:val="30"/>
        </w:rPr>
        <w:t>所属单位0个。</w:t>
      </w:r>
    </w:p>
    <w:p>
      <w:pPr>
        <w:autoSpaceDE w:val="0"/>
        <w:autoSpaceDN w:val="0"/>
        <w:spacing w:line="580" w:lineRule="exact"/>
        <w:ind w:firstLine="600"/>
        <w:rPr>
          <w:rFonts w:hint="default" w:ascii="Times New Roman" w:hAnsi="Times New Roman" w:cs="Times New Roman" w:eastAsiaTheme="minorEastAsia"/>
          <w:sz w:val="30"/>
          <w:szCs w:val="30"/>
        </w:rPr>
      </w:pPr>
      <w:r>
        <w:rPr>
          <w:rFonts w:hint="default" w:ascii="Times New Roman" w:hAnsi="Times New Roman" w:cs="Times New Roman" w:eastAsiaTheme="minorEastAsia"/>
          <w:sz w:val="30"/>
          <w:szCs w:val="30"/>
        </w:rPr>
        <w:t>（二）决算单位构成</w:t>
      </w:r>
    </w:p>
    <w:p>
      <w:pPr>
        <w:autoSpaceDE w:val="0"/>
        <w:autoSpaceDN w:val="0"/>
        <w:spacing w:line="580" w:lineRule="exact"/>
        <w:ind w:firstLine="600"/>
        <w:rPr>
          <w:rFonts w:hint="default" w:ascii="Times New Roman" w:hAnsi="Times New Roman" w:cs="Times New Roman" w:eastAsiaTheme="minorEastAsia"/>
          <w:sz w:val="30"/>
          <w:szCs w:val="30"/>
        </w:rPr>
      </w:pPr>
      <w:r>
        <w:rPr>
          <w:rFonts w:hint="default" w:ascii="Times New Roman" w:hAnsi="Times New Roman" w:cs="Times New Roman" w:eastAsiaTheme="minorEastAsia"/>
          <w:sz w:val="30"/>
          <w:szCs w:val="30"/>
        </w:rPr>
        <w:t>纳入峨山彝族自治县职业高级中学2022年度部门决算编报的单位共1个。其中：行政单位0个，参照公务员法管理的事业单位0个，其他事业单位1个</w:t>
      </w:r>
      <w:r>
        <w:rPr>
          <w:rFonts w:hint="eastAsia" w:ascii="Times New Roman" w:hAnsi="Times New Roman" w:cs="Times New Roman" w:eastAsiaTheme="minorEastAsia"/>
          <w:sz w:val="30"/>
          <w:szCs w:val="30"/>
          <w:lang w:eastAsia="zh-CN"/>
        </w:rPr>
        <w:t>，</w:t>
      </w:r>
      <w:r>
        <w:rPr>
          <w:rFonts w:hint="eastAsia" w:ascii="Times New Roman" w:hAnsi="Times New Roman" w:cs="Times New Roman" w:eastAsiaTheme="minorEastAsia"/>
          <w:sz w:val="30"/>
          <w:szCs w:val="30"/>
          <w:lang w:val="en-US" w:eastAsia="zh-CN"/>
        </w:rPr>
        <w:t>即</w:t>
      </w:r>
      <w:r>
        <w:rPr>
          <w:rFonts w:hint="default" w:ascii="Times New Roman" w:hAnsi="Times New Roman" w:cs="Times New Roman" w:eastAsiaTheme="minorEastAsia"/>
          <w:sz w:val="30"/>
          <w:szCs w:val="30"/>
        </w:rPr>
        <w:t>峨山彝族自治县职业高级中学。</w:t>
      </w:r>
    </w:p>
    <w:p>
      <w:pPr>
        <w:autoSpaceDE w:val="0"/>
        <w:autoSpaceDN w:val="0"/>
        <w:spacing w:line="580" w:lineRule="exact"/>
        <w:ind w:firstLine="600"/>
        <w:rPr>
          <w:rFonts w:hint="default" w:ascii="Times New Roman" w:hAnsi="Times New Roman" w:cs="Times New Roman" w:eastAsiaTheme="minorEastAsia"/>
          <w:sz w:val="30"/>
          <w:szCs w:val="30"/>
        </w:rPr>
      </w:pPr>
      <w:r>
        <w:rPr>
          <w:rFonts w:hint="default" w:ascii="Times New Roman" w:hAnsi="Times New Roman" w:cs="Times New Roman" w:eastAsiaTheme="minorEastAsia"/>
          <w:sz w:val="30"/>
          <w:szCs w:val="30"/>
        </w:rPr>
        <w:t>（三）部门人员和车辆的编制及实有情况</w:t>
      </w:r>
    </w:p>
    <w:p>
      <w:pPr>
        <w:autoSpaceDE w:val="0"/>
        <w:autoSpaceDN w:val="0"/>
        <w:spacing w:line="580" w:lineRule="exact"/>
        <w:ind w:firstLine="600"/>
        <w:rPr>
          <w:rFonts w:hint="default" w:ascii="Times New Roman" w:hAnsi="Times New Roman" w:cs="Times New Roman" w:eastAsiaTheme="minorEastAsia"/>
          <w:sz w:val="30"/>
          <w:szCs w:val="30"/>
        </w:rPr>
      </w:pPr>
      <w:r>
        <w:rPr>
          <w:rFonts w:hint="default" w:ascii="Times New Roman" w:hAnsi="Times New Roman" w:cs="Times New Roman" w:eastAsiaTheme="minorEastAsia"/>
          <w:sz w:val="30"/>
          <w:szCs w:val="30"/>
        </w:rPr>
        <w:t>峨山彝族自治县职业高级中学2022年末实有人员编制109人。其中：行政编制0人（含行政工勤编制0人），事业编制109人（含参公管理事业编制0人）；在职在编实有行政人员0人（含行政工勤人员0人），事业人员107人（含参公管理事业人员0人）。</w:t>
      </w:r>
    </w:p>
    <w:p>
      <w:pPr>
        <w:autoSpaceDE w:val="0"/>
        <w:autoSpaceDN w:val="0"/>
        <w:spacing w:line="580" w:lineRule="exact"/>
        <w:ind w:firstLine="600"/>
        <w:rPr>
          <w:rFonts w:hint="default" w:ascii="Times New Roman" w:hAnsi="Times New Roman" w:cs="Times New Roman" w:eastAsiaTheme="minorEastAsia"/>
          <w:sz w:val="30"/>
          <w:szCs w:val="30"/>
        </w:rPr>
      </w:pPr>
      <w:r>
        <w:rPr>
          <w:rFonts w:hint="default" w:ascii="Times New Roman" w:hAnsi="Times New Roman" w:cs="Times New Roman" w:eastAsiaTheme="minorEastAsia"/>
          <w:sz w:val="30"/>
          <w:szCs w:val="30"/>
        </w:rPr>
        <w:t>尚未移交养老保险基金发放养老金的离退休人员共计0人（离休0人，退休0人）；由养老保险基金发放养老金的离退休人员43人（离休0人，退休43人）。</w:t>
      </w:r>
    </w:p>
    <w:p>
      <w:pPr>
        <w:autoSpaceDE w:val="0"/>
        <w:autoSpaceDN w:val="0"/>
        <w:spacing w:line="580" w:lineRule="exact"/>
        <w:ind w:firstLine="600"/>
        <w:rPr>
          <w:rFonts w:hint="default" w:ascii="Times New Roman" w:hAnsi="Times New Roman" w:cs="Times New Roman" w:eastAsiaTheme="minorEastAsia"/>
          <w:sz w:val="30"/>
          <w:szCs w:val="30"/>
        </w:rPr>
      </w:pPr>
      <w:r>
        <w:rPr>
          <w:rFonts w:hint="default" w:ascii="Times New Roman" w:hAnsi="Times New Roman" w:cs="Times New Roman" w:eastAsiaTheme="minorEastAsia"/>
          <w:sz w:val="30"/>
          <w:szCs w:val="30"/>
        </w:rPr>
        <w:t>实有车辆编制2辆，在编实有车辆2辆。</w:t>
      </w:r>
    </w:p>
    <w:p>
      <w:pPr>
        <w:autoSpaceDE w:val="0"/>
        <w:autoSpaceDN w:val="0"/>
        <w:spacing w:line="580" w:lineRule="exact"/>
        <w:jc w:val="center"/>
        <w:rPr>
          <w:rFonts w:hint="default" w:ascii="Times New Roman" w:hAnsi="Times New Roman" w:cs="Times New Roman" w:eastAsiaTheme="minorEastAsia"/>
          <w:sz w:val="30"/>
          <w:szCs w:val="30"/>
        </w:rPr>
      </w:pPr>
      <w:r>
        <w:rPr>
          <w:rFonts w:hint="default" w:ascii="Times New Roman" w:hAnsi="Times New Roman" w:cs="Times New Roman" w:eastAsiaTheme="minorEastAsia"/>
          <w:sz w:val="30"/>
          <w:szCs w:val="30"/>
        </w:rPr>
        <w:t>第二部分  2022年度部门决算表</w:t>
      </w:r>
    </w:p>
    <w:p>
      <w:pPr>
        <w:autoSpaceDE w:val="0"/>
        <w:autoSpaceDN w:val="0"/>
        <w:spacing w:line="580" w:lineRule="exact"/>
        <w:ind w:firstLine="600"/>
        <w:jc w:val="center"/>
        <w:rPr>
          <w:rFonts w:hint="default" w:ascii="Times New Roman" w:hAnsi="Times New Roman" w:cs="Times New Roman" w:eastAsiaTheme="minorEastAsia"/>
          <w:sz w:val="30"/>
          <w:szCs w:val="30"/>
        </w:rPr>
      </w:pPr>
      <w:r>
        <w:rPr>
          <w:rFonts w:hint="default" w:ascii="Times New Roman" w:hAnsi="Times New Roman" w:cs="Times New Roman" w:eastAsiaTheme="minorEastAsia"/>
          <w:sz w:val="30"/>
          <w:szCs w:val="30"/>
        </w:rPr>
        <w:t>（详见附件）</w:t>
      </w:r>
    </w:p>
    <w:p>
      <w:pPr>
        <w:widowControl w:val="0"/>
        <w:topLinePunct/>
        <w:autoSpaceDE w:val="0"/>
        <w:spacing w:line="580" w:lineRule="exact"/>
        <w:ind w:firstLine="641"/>
        <w:jc w:val="both"/>
        <w:rPr>
          <w:rFonts w:hint="default" w:ascii="Times New Roman" w:hAnsi="Times New Roman" w:cs="Times New Roman" w:eastAsiaTheme="minorEastAsia"/>
          <w:sz w:val="30"/>
          <w:szCs w:val="30"/>
        </w:rPr>
      </w:pPr>
      <w:r>
        <w:rPr>
          <w:rFonts w:hint="default" w:ascii="Times New Roman" w:hAnsi="Times New Roman" w:cs="Times New Roman" w:eastAsiaTheme="minorEastAsia"/>
          <w:sz w:val="30"/>
          <w:szCs w:val="30"/>
        </w:rPr>
        <w:t>峨山彝族自治县职业高级中学没有政府性基金收入，也没有使用政府性基金安排的支出，故《政府性基金预算财政拨款收入支出决算表》无数据。</w:t>
      </w:r>
    </w:p>
    <w:p>
      <w:pPr>
        <w:widowControl w:val="0"/>
        <w:topLinePunct/>
        <w:autoSpaceDE w:val="0"/>
        <w:spacing w:line="580" w:lineRule="exact"/>
        <w:ind w:firstLine="641"/>
        <w:jc w:val="both"/>
        <w:rPr>
          <w:rFonts w:hint="default" w:ascii="Times New Roman" w:hAnsi="Times New Roman" w:cs="Times New Roman" w:eastAsiaTheme="minorEastAsia"/>
          <w:sz w:val="30"/>
          <w:szCs w:val="30"/>
        </w:rPr>
      </w:pPr>
      <w:r>
        <w:rPr>
          <w:rFonts w:hint="default" w:ascii="Times New Roman" w:hAnsi="Times New Roman" w:cs="Times New Roman" w:eastAsiaTheme="minorEastAsia"/>
          <w:sz w:val="30"/>
          <w:szCs w:val="30"/>
        </w:rPr>
        <w:t>峨山彝族自治县职业高级中学没有国有资本经营预算财政拨款收入，也没有国有资本经营预算财政拨款支出，故《国有资本经营预算财政拨款收入支出决算表》无数据。</w:t>
      </w:r>
    </w:p>
    <w:p>
      <w:pPr>
        <w:autoSpaceDE w:val="0"/>
        <w:autoSpaceDN w:val="0"/>
        <w:spacing w:line="580" w:lineRule="exact"/>
        <w:jc w:val="center"/>
        <w:rPr>
          <w:rFonts w:hint="default" w:ascii="Times New Roman" w:hAnsi="Times New Roman" w:cs="Times New Roman" w:eastAsiaTheme="minorEastAsia"/>
          <w:sz w:val="30"/>
          <w:szCs w:val="30"/>
        </w:rPr>
      </w:pPr>
      <w:r>
        <w:rPr>
          <w:rFonts w:hint="default" w:ascii="Times New Roman" w:hAnsi="Times New Roman" w:cs="Times New Roman" w:eastAsiaTheme="minorEastAsia"/>
          <w:sz w:val="30"/>
          <w:szCs w:val="30"/>
        </w:rPr>
        <w:t>第三部分 2022年度部门决算情况说明</w:t>
      </w:r>
    </w:p>
    <w:p>
      <w:pPr>
        <w:autoSpaceDE w:val="0"/>
        <w:autoSpaceDN w:val="0"/>
        <w:spacing w:line="580" w:lineRule="exact"/>
        <w:ind w:firstLine="600"/>
        <w:rPr>
          <w:rFonts w:hint="default" w:ascii="Times New Roman" w:hAnsi="Times New Roman" w:cs="Times New Roman" w:eastAsiaTheme="minorEastAsia"/>
          <w:sz w:val="30"/>
          <w:szCs w:val="30"/>
        </w:rPr>
      </w:pPr>
      <w:r>
        <w:rPr>
          <w:rFonts w:hint="default" w:ascii="Times New Roman" w:hAnsi="Times New Roman" w:cs="Times New Roman" w:eastAsiaTheme="minorEastAsia"/>
          <w:sz w:val="30"/>
          <w:szCs w:val="30"/>
        </w:rPr>
        <w:t>一、收入决算情况说明</w:t>
      </w:r>
    </w:p>
    <w:p>
      <w:pPr>
        <w:autoSpaceDE w:val="0"/>
        <w:autoSpaceDN w:val="0"/>
        <w:spacing w:line="580" w:lineRule="exact"/>
        <w:ind w:firstLine="600"/>
        <w:rPr>
          <w:rFonts w:hint="default" w:ascii="Times New Roman" w:hAnsi="Times New Roman" w:cs="Times New Roman" w:eastAsiaTheme="minorEastAsia"/>
          <w:sz w:val="30"/>
          <w:szCs w:val="30"/>
        </w:rPr>
      </w:pPr>
      <w:r>
        <w:rPr>
          <w:rFonts w:hint="default" w:ascii="Times New Roman" w:hAnsi="Times New Roman" w:cs="Times New Roman" w:eastAsiaTheme="minorEastAsia"/>
          <w:sz w:val="30"/>
          <w:szCs w:val="30"/>
        </w:rPr>
        <w:t>峨山彝族自治县职业高级中学2022年度收入合计23,595,965.46元。其中：财政拨款收入23,278,205.46元，占总收入的98.65%；上级补助收入0.00元，占总收入的0.00%；事业收入317,760.00元（含教育收费0.00元），占总收入的1.35%；经营收入0.00元，占总收入的0.00%；附属单位缴款收入0.00元，占总收入的0.00%；其他收入0.00元，占总收入的0.00%。与上年相比，收入合计减少989,894.05元，下降4.03%。其中：财政拨款收入减少992,639.90元，下降4.09%，主要原因是财政困难，部分拨款没有到位。上级补助收入增加0.00元，增长0.00%；事业收入增加12,745.85元，增长4.18%</w:t>
      </w:r>
      <w:r>
        <w:rPr>
          <w:rFonts w:hint="eastAsia" w:ascii="Times New Roman" w:hAnsi="Times New Roman" w:cs="Times New Roman" w:eastAsiaTheme="minorEastAsia"/>
          <w:sz w:val="30"/>
          <w:szCs w:val="30"/>
          <w:lang w:eastAsia="zh-CN"/>
        </w:rPr>
        <w:t>，主要原因是招生人数增加</w:t>
      </w:r>
      <w:r>
        <w:rPr>
          <w:rFonts w:hint="default" w:ascii="Times New Roman" w:hAnsi="Times New Roman" w:cs="Times New Roman" w:eastAsiaTheme="minorEastAsia"/>
          <w:sz w:val="30"/>
          <w:szCs w:val="30"/>
        </w:rPr>
        <w:t>；经营收入增加0.00元，增长0.00%；附属单位上缴收入增加0.00元，增长0.00%；其他收入减少10,000.00元，下降100.00%，主要原因是没有除财政以外的其他单位拨款。</w:t>
      </w:r>
    </w:p>
    <w:p>
      <w:pPr>
        <w:autoSpaceDE w:val="0"/>
        <w:autoSpaceDN w:val="0"/>
        <w:spacing w:line="580" w:lineRule="exact"/>
        <w:ind w:firstLine="600"/>
        <w:rPr>
          <w:rFonts w:hint="default" w:ascii="Times New Roman" w:hAnsi="Times New Roman" w:cs="Times New Roman" w:eastAsiaTheme="minorEastAsia"/>
          <w:sz w:val="30"/>
          <w:szCs w:val="30"/>
        </w:rPr>
      </w:pPr>
      <w:r>
        <w:rPr>
          <w:rFonts w:hint="default" w:ascii="Times New Roman" w:hAnsi="Times New Roman" w:cs="Times New Roman" w:eastAsiaTheme="minorEastAsia"/>
          <w:sz w:val="30"/>
          <w:szCs w:val="30"/>
        </w:rPr>
        <w:t>二、支出决算情况说明</w:t>
      </w:r>
    </w:p>
    <w:p>
      <w:pPr>
        <w:autoSpaceDE w:val="0"/>
        <w:autoSpaceDN w:val="0"/>
        <w:spacing w:line="580" w:lineRule="exact"/>
        <w:ind w:firstLine="600"/>
        <w:rPr>
          <w:rFonts w:hint="default" w:ascii="Times New Roman" w:hAnsi="Times New Roman" w:cs="Times New Roman" w:eastAsiaTheme="minorEastAsia"/>
          <w:sz w:val="30"/>
          <w:szCs w:val="30"/>
        </w:rPr>
      </w:pPr>
      <w:r>
        <w:rPr>
          <w:rFonts w:hint="default" w:ascii="Times New Roman" w:hAnsi="Times New Roman" w:cs="Times New Roman" w:eastAsiaTheme="minorEastAsia"/>
          <w:sz w:val="30"/>
          <w:szCs w:val="30"/>
        </w:rPr>
        <w:t>峨山彝族自治县职业高级中学2022年度支出合计23,595,965.46元。其中：基本支出19,892,306.99元，占总支出的84.30%；项目支出3,703,658.47元，占总支出的15.70%；上缴上级支出0.00元，占总支出的0.00％；经营支出0.00元，占总支出的0.00％；对附属单位补助支出0.00元，占总支出的0.00％。与上年相比，支出合计减少979,894.05元，下降3.99%。其中：基本支出减少81,330.18元，下降0.41%</w:t>
      </w:r>
      <w:r>
        <w:rPr>
          <w:rFonts w:hint="eastAsia" w:ascii="Times New Roman" w:hAnsi="Times New Roman" w:cs="Times New Roman" w:eastAsiaTheme="minorEastAsia"/>
          <w:sz w:val="30"/>
          <w:szCs w:val="30"/>
          <w:lang w:eastAsia="zh-CN"/>
        </w:rPr>
        <w:t>，主要原因是人员结构发生变化；</w:t>
      </w:r>
      <w:r>
        <w:rPr>
          <w:rFonts w:hint="default" w:ascii="Times New Roman" w:hAnsi="Times New Roman" w:cs="Times New Roman" w:eastAsiaTheme="minorEastAsia"/>
          <w:sz w:val="30"/>
          <w:szCs w:val="30"/>
        </w:rPr>
        <w:t>项目支出减少</w:t>
      </w:r>
      <w:r>
        <w:rPr>
          <w:rFonts w:hint="eastAsia" w:ascii="Times New Roman" w:hAnsi="Times New Roman" w:cs="Times New Roman" w:eastAsiaTheme="minorEastAsia"/>
          <w:sz w:val="30"/>
          <w:szCs w:val="30"/>
          <w:lang w:val="en-US" w:eastAsia="zh-CN"/>
        </w:rPr>
        <w:t>898</w:t>
      </w:r>
      <w:r>
        <w:rPr>
          <w:rFonts w:hint="default" w:ascii="Times New Roman" w:hAnsi="Times New Roman" w:cs="Times New Roman" w:eastAsiaTheme="minorEastAsia"/>
          <w:sz w:val="30"/>
          <w:szCs w:val="30"/>
        </w:rPr>
        <w:t>,</w:t>
      </w:r>
      <w:r>
        <w:rPr>
          <w:rFonts w:hint="eastAsia" w:ascii="Times New Roman" w:hAnsi="Times New Roman" w:cs="Times New Roman" w:eastAsiaTheme="minorEastAsia"/>
          <w:sz w:val="30"/>
          <w:szCs w:val="30"/>
          <w:lang w:val="en-US" w:eastAsia="zh-CN"/>
        </w:rPr>
        <w:t>563</w:t>
      </w:r>
      <w:r>
        <w:rPr>
          <w:rFonts w:hint="default" w:ascii="Times New Roman" w:hAnsi="Times New Roman" w:cs="Times New Roman" w:eastAsiaTheme="minorEastAsia"/>
          <w:sz w:val="30"/>
          <w:szCs w:val="30"/>
        </w:rPr>
        <w:t>.</w:t>
      </w:r>
      <w:r>
        <w:rPr>
          <w:rFonts w:hint="eastAsia" w:ascii="Times New Roman" w:hAnsi="Times New Roman" w:cs="Times New Roman" w:eastAsiaTheme="minorEastAsia"/>
          <w:sz w:val="30"/>
          <w:szCs w:val="30"/>
          <w:lang w:val="en-US" w:eastAsia="zh-CN"/>
        </w:rPr>
        <w:t>87</w:t>
      </w:r>
      <w:r>
        <w:rPr>
          <w:rFonts w:hint="default" w:ascii="Times New Roman" w:hAnsi="Times New Roman" w:cs="Times New Roman" w:eastAsiaTheme="minorEastAsia"/>
          <w:sz w:val="30"/>
          <w:szCs w:val="30"/>
        </w:rPr>
        <w:t>元，下降22.27%，主要原因是财政困难，部分资金没有到位。上缴上级支出增加0.00元，增长0.00%；经营支出增加0.00元，增长0.00%；对附属单位补助支出增加0.00元，增长0.00%。</w:t>
      </w:r>
    </w:p>
    <w:p>
      <w:pPr>
        <w:autoSpaceDE w:val="0"/>
        <w:autoSpaceDN w:val="0"/>
        <w:spacing w:line="580" w:lineRule="exact"/>
        <w:ind w:firstLine="600"/>
        <w:rPr>
          <w:rFonts w:hint="default" w:ascii="Times New Roman" w:hAnsi="Times New Roman" w:cs="Times New Roman" w:eastAsiaTheme="minorEastAsia"/>
          <w:sz w:val="30"/>
          <w:szCs w:val="30"/>
        </w:rPr>
      </w:pPr>
      <w:r>
        <w:rPr>
          <w:rFonts w:hint="default" w:ascii="Times New Roman" w:hAnsi="Times New Roman" w:cs="Times New Roman" w:eastAsiaTheme="minorEastAsia"/>
          <w:sz w:val="30"/>
          <w:szCs w:val="30"/>
        </w:rPr>
        <w:t>（一）基本支出情况</w:t>
      </w:r>
    </w:p>
    <w:p>
      <w:pPr>
        <w:autoSpaceDE w:val="0"/>
        <w:autoSpaceDN w:val="0"/>
        <w:spacing w:line="580" w:lineRule="exact"/>
        <w:ind w:firstLine="600"/>
        <w:rPr>
          <w:rFonts w:hint="default" w:ascii="Times New Roman" w:hAnsi="Times New Roman" w:cs="Times New Roman" w:eastAsiaTheme="minorEastAsia"/>
          <w:sz w:val="30"/>
          <w:szCs w:val="30"/>
        </w:rPr>
      </w:pPr>
      <w:r>
        <w:rPr>
          <w:rFonts w:hint="default" w:ascii="Times New Roman" w:hAnsi="Times New Roman" w:cs="Times New Roman" w:eastAsiaTheme="minorEastAsia"/>
          <w:sz w:val="30"/>
          <w:szCs w:val="30"/>
        </w:rPr>
        <w:t>2022年度用于保障峨山彝族自治县职业高级中学机关、下属事业单位等机构正常运转的日常支出19,892,306.99元。其中：基本工资、津贴补贴等人员经费支出19,459,501.10元，占基本支出的97.82％；办公费、印刷费、水电费、办公设备购置等公用经费432,805.89元，占基本支出的2.18％。</w:t>
      </w:r>
    </w:p>
    <w:p>
      <w:pPr>
        <w:autoSpaceDE w:val="0"/>
        <w:autoSpaceDN w:val="0"/>
        <w:spacing w:line="580" w:lineRule="exact"/>
        <w:ind w:firstLine="600"/>
        <w:rPr>
          <w:rFonts w:hint="default" w:ascii="Times New Roman" w:hAnsi="Times New Roman" w:cs="Times New Roman" w:eastAsiaTheme="minorEastAsia"/>
          <w:sz w:val="30"/>
          <w:szCs w:val="30"/>
        </w:rPr>
      </w:pPr>
      <w:r>
        <w:rPr>
          <w:rFonts w:hint="default" w:ascii="Times New Roman" w:hAnsi="Times New Roman" w:cs="Times New Roman" w:eastAsiaTheme="minorEastAsia"/>
          <w:sz w:val="30"/>
          <w:szCs w:val="30"/>
        </w:rPr>
        <w:t>（二）项目支出情况</w:t>
      </w:r>
    </w:p>
    <w:p>
      <w:pPr>
        <w:pStyle w:val="8"/>
        <w:spacing w:line="590" w:lineRule="atLeast"/>
        <w:ind w:firstLine="600"/>
        <w:rPr>
          <w:rFonts w:hint="default" w:ascii="Times New Roman" w:hAnsi="Times New Roman" w:cs="Times New Roman" w:eastAsiaTheme="minorEastAsia"/>
          <w:sz w:val="30"/>
          <w:szCs w:val="30"/>
        </w:rPr>
      </w:pPr>
      <w:r>
        <w:rPr>
          <w:rFonts w:hint="default" w:ascii="Times New Roman" w:hAnsi="Times New Roman" w:cs="Times New Roman" w:eastAsiaTheme="minorEastAsia"/>
          <w:sz w:val="30"/>
          <w:szCs w:val="30"/>
        </w:rPr>
        <w:t>2022年度用于保障峨山彝族自治县职业高级中学机构、下属事业单位等机构为完成特定的行政工作任务或事业发展目标，用于专项业务工作的经费支出3,703,658.47元。其中：基本建设类项目支出0.00元。</w:t>
      </w:r>
    </w:p>
    <w:p>
      <w:pPr>
        <w:pStyle w:val="8"/>
        <w:spacing w:line="590" w:lineRule="atLeast"/>
        <w:ind w:firstLine="600"/>
        <w:rPr>
          <w:rFonts w:hint="default" w:ascii="Times New Roman" w:hAnsi="Times New Roman" w:cs="Times New Roman" w:eastAsiaTheme="minorEastAsia"/>
          <w:sz w:val="30"/>
          <w:szCs w:val="30"/>
        </w:rPr>
      </w:pPr>
      <w:r>
        <w:rPr>
          <w:rFonts w:hint="default" w:ascii="Times New Roman" w:hAnsi="Times New Roman" w:cs="Times New Roman" w:eastAsiaTheme="minorEastAsia"/>
          <w:sz w:val="30"/>
          <w:szCs w:val="30"/>
        </w:rPr>
        <w:t>具体项目支出及工作开展情况详见第四部分，部门绩效自评情况第三点：部门决算中项目支出自评结果。</w:t>
      </w:r>
    </w:p>
    <w:p>
      <w:pPr>
        <w:autoSpaceDE w:val="0"/>
        <w:autoSpaceDN w:val="0"/>
        <w:spacing w:line="580" w:lineRule="exact"/>
        <w:ind w:firstLine="600"/>
        <w:rPr>
          <w:rFonts w:hint="default" w:ascii="Times New Roman" w:hAnsi="Times New Roman" w:cs="Times New Roman" w:eastAsiaTheme="minorEastAsia"/>
          <w:sz w:val="30"/>
          <w:szCs w:val="30"/>
        </w:rPr>
      </w:pPr>
      <w:r>
        <w:rPr>
          <w:rFonts w:hint="default" w:ascii="Times New Roman" w:hAnsi="Times New Roman" w:cs="Times New Roman" w:eastAsiaTheme="minorEastAsia"/>
          <w:sz w:val="30"/>
          <w:szCs w:val="30"/>
        </w:rPr>
        <w:t>三、一般公共预算财政拨款支出决算情况说明</w:t>
      </w:r>
    </w:p>
    <w:p>
      <w:pPr>
        <w:autoSpaceDE w:val="0"/>
        <w:autoSpaceDN w:val="0"/>
        <w:spacing w:line="580" w:lineRule="exact"/>
        <w:ind w:firstLine="600"/>
        <w:rPr>
          <w:rFonts w:hint="default" w:ascii="Times New Roman" w:hAnsi="Times New Roman" w:cs="Times New Roman" w:eastAsiaTheme="minorEastAsia"/>
          <w:sz w:val="30"/>
          <w:szCs w:val="30"/>
        </w:rPr>
      </w:pPr>
      <w:r>
        <w:rPr>
          <w:rFonts w:hint="default" w:ascii="Times New Roman" w:hAnsi="Times New Roman" w:cs="Times New Roman" w:eastAsiaTheme="minorEastAsia"/>
          <w:sz w:val="30"/>
          <w:szCs w:val="30"/>
        </w:rPr>
        <w:t>（一）一般公共预算财政拨款支出决算总体情况</w:t>
      </w:r>
    </w:p>
    <w:p>
      <w:pPr>
        <w:autoSpaceDE w:val="0"/>
        <w:autoSpaceDN w:val="0"/>
        <w:spacing w:line="580" w:lineRule="exact"/>
        <w:ind w:firstLine="600"/>
        <w:rPr>
          <w:rFonts w:hint="default" w:ascii="Times New Roman" w:hAnsi="Times New Roman" w:cs="Times New Roman" w:eastAsiaTheme="minorEastAsia"/>
          <w:sz w:val="30"/>
          <w:szCs w:val="30"/>
        </w:rPr>
      </w:pPr>
      <w:r>
        <w:rPr>
          <w:rFonts w:hint="default" w:ascii="Times New Roman" w:hAnsi="Times New Roman" w:cs="Times New Roman" w:eastAsiaTheme="minorEastAsia"/>
          <w:sz w:val="30"/>
          <w:szCs w:val="30"/>
        </w:rPr>
        <w:t>峨山彝族自治县职业高级中学2022年度一般公共预算财政拨款支出23,278,205.46元，占本年支出合计的98.65%。与上年相比减少992,639.90元，下降4.09%，主要原因是财政困难，部分拨款未到位。</w:t>
      </w:r>
    </w:p>
    <w:p>
      <w:pPr>
        <w:autoSpaceDE w:val="0"/>
        <w:autoSpaceDN w:val="0"/>
        <w:spacing w:line="580" w:lineRule="exact"/>
        <w:ind w:firstLine="600"/>
        <w:rPr>
          <w:rFonts w:hint="default" w:ascii="Times New Roman" w:hAnsi="Times New Roman" w:cs="Times New Roman" w:eastAsiaTheme="minorEastAsia"/>
          <w:sz w:val="30"/>
          <w:szCs w:val="30"/>
        </w:rPr>
      </w:pPr>
      <w:r>
        <w:rPr>
          <w:rFonts w:hint="default" w:ascii="Times New Roman" w:hAnsi="Times New Roman" w:cs="Times New Roman" w:eastAsiaTheme="minorEastAsia"/>
          <w:sz w:val="30"/>
          <w:szCs w:val="30"/>
        </w:rPr>
        <w:t>（二）一般公共预算财政拨款支出决算具体情况</w:t>
      </w:r>
    </w:p>
    <w:p>
      <w:pPr>
        <w:autoSpaceDE w:val="0"/>
        <w:autoSpaceDN w:val="0"/>
        <w:spacing w:line="580" w:lineRule="exact"/>
        <w:ind w:firstLine="600"/>
        <w:rPr>
          <w:rFonts w:hint="default" w:ascii="Times New Roman" w:hAnsi="Times New Roman" w:cs="Times New Roman" w:eastAsiaTheme="minorEastAsia"/>
          <w:sz w:val="30"/>
          <w:szCs w:val="30"/>
        </w:rPr>
      </w:pPr>
      <w:r>
        <w:rPr>
          <w:rFonts w:hint="default" w:ascii="Times New Roman" w:hAnsi="Times New Roman" w:cs="Times New Roman" w:eastAsiaTheme="minorEastAsia"/>
          <w:sz w:val="30"/>
          <w:szCs w:val="30"/>
        </w:rPr>
        <w:t> 1.一般公共服务（类）支出0.00元，占一般公共预算财政拨款总支出的0.00%。</w:t>
      </w:r>
    </w:p>
    <w:p>
      <w:pPr>
        <w:autoSpaceDE w:val="0"/>
        <w:autoSpaceDN w:val="0"/>
        <w:spacing w:line="580" w:lineRule="exact"/>
        <w:ind w:firstLine="600"/>
        <w:rPr>
          <w:rFonts w:hint="default" w:ascii="Times New Roman" w:hAnsi="Times New Roman" w:cs="Times New Roman" w:eastAsiaTheme="minorEastAsia"/>
          <w:color w:val="FF0000"/>
          <w:sz w:val="30"/>
          <w:szCs w:val="30"/>
        </w:rPr>
      </w:pPr>
      <w:r>
        <w:rPr>
          <w:rFonts w:hint="default" w:ascii="Times New Roman" w:hAnsi="Times New Roman" w:cs="Times New Roman" w:eastAsiaTheme="minorEastAsia"/>
          <w:sz w:val="30"/>
          <w:szCs w:val="30"/>
        </w:rPr>
        <w:t>  2.外交（类）支出0.00元，占一般公共预算财政拨款总支出的0.00%。</w:t>
      </w:r>
    </w:p>
    <w:p>
      <w:pPr>
        <w:autoSpaceDE w:val="0"/>
        <w:autoSpaceDN w:val="0"/>
        <w:spacing w:line="580" w:lineRule="exact"/>
        <w:ind w:firstLine="600"/>
        <w:rPr>
          <w:rFonts w:hint="default" w:ascii="Times New Roman" w:hAnsi="Times New Roman" w:cs="Times New Roman" w:eastAsiaTheme="minorEastAsia"/>
          <w:sz w:val="30"/>
          <w:szCs w:val="30"/>
        </w:rPr>
      </w:pPr>
      <w:r>
        <w:rPr>
          <w:rFonts w:hint="default" w:ascii="Times New Roman" w:hAnsi="Times New Roman" w:cs="Times New Roman" w:eastAsiaTheme="minorEastAsia"/>
          <w:sz w:val="30"/>
          <w:szCs w:val="30"/>
        </w:rPr>
        <w:t> 3.国防（类）支出0.00元，占一般公共预算财政拨款总支出的0.00%。</w:t>
      </w:r>
    </w:p>
    <w:p>
      <w:pPr>
        <w:autoSpaceDE w:val="0"/>
        <w:autoSpaceDN w:val="0"/>
        <w:spacing w:line="580" w:lineRule="exact"/>
        <w:ind w:firstLine="600"/>
        <w:rPr>
          <w:rFonts w:hint="default" w:ascii="Times New Roman" w:hAnsi="Times New Roman" w:cs="Times New Roman" w:eastAsiaTheme="minorEastAsia"/>
          <w:sz w:val="30"/>
          <w:szCs w:val="30"/>
        </w:rPr>
      </w:pPr>
      <w:r>
        <w:rPr>
          <w:rFonts w:hint="default" w:ascii="Times New Roman" w:hAnsi="Times New Roman" w:cs="Times New Roman" w:eastAsiaTheme="minorEastAsia"/>
          <w:sz w:val="30"/>
          <w:szCs w:val="30"/>
        </w:rPr>
        <w:t> 4.公共安全（类）支出0.00元，占一般公共预算财政拨款总支出的0.00%。</w:t>
      </w:r>
    </w:p>
    <w:p>
      <w:pPr>
        <w:pStyle w:val="8"/>
        <w:spacing w:before="0" w:after="0" w:line="590" w:lineRule="atLeast"/>
        <w:ind w:left="0" w:right="0" w:firstLine="600"/>
        <w:rPr>
          <w:rFonts w:hint="default" w:ascii="Times New Roman" w:hAnsi="Times New Roman" w:cs="Times New Roman" w:eastAsiaTheme="minorEastAsia"/>
          <w:sz w:val="30"/>
          <w:szCs w:val="30"/>
        </w:rPr>
      </w:pPr>
      <w:r>
        <w:rPr>
          <w:rFonts w:hint="default" w:ascii="Times New Roman" w:hAnsi="Times New Roman" w:cs="Times New Roman" w:eastAsiaTheme="minorEastAsia"/>
          <w:sz w:val="30"/>
          <w:szCs w:val="30"/>
        </w:rPr>
        <w:t> 5.教育（类）支出17,655,215.67元，占一般公共预算财政拨款总支出的75.84%。</w:t>
      </w:r>
      <w:r>
        <w:rPr>
          <w:rFonts w:hint="default" w:ascii="Times New Roman" w:hAnsi="Times New Roman" w:cs="Times New Roman" w:eastAsiaTheme="minorEastAsia"/>
          <w:sz w:val="30"/>
          <w:szCs w:val="30"/>
        </w:rPr>
        <w:t>主要用于除一般公共服务、社保、医疗、住房保障外的人员经费支出和公用经费支出；</w:t>
      </w:r>
    </w:p>
    <w:p>
      <w:pPr>
        <w:autoSpaceDE w:val="0"/>
        <w:autoSpaceDN w:val="0"/>
        <w:spacing w:line="580" w:lineRule="exact"/>
        <w:ind w:firstLine="600"/>
        <w:rPr>
          <w:rFonts w:hint="default" w:ascii="Times New Roman" w:hAnsi="Times New Roman" w:cs="Times New Roman" w:eastAsiaTheme="minorEastAsia"/>
          <w:sz w:val="30"/>
          <w:szCs w:val="30"/>
        </w:rPr>
      </w:pPr>
      <w:r>
        <w:rPr>
          <w:rFonts w:hint="default" w:ascii="Times New Roman" w:hAnsi="Times New Roman" w:cs="Times New Roman" w:eastAsiaTheme="minorEastAsia"/>
          <w:sz w:val="30"/>
          <w:szCs w:val="30"/>
        </w:rPr>
        <w:t> 6.科学技术（类）支出0.00元，占一般公共预算财政拨款总支出的0.00%。</w:t>
      </w:r>
    </w:p>
    <w:p>
      <w:pPr>
        <w:autoSpaceDE w:val="0"/>
        <w:autoSpaceDN w:val="0"/>
        <w:spacing w:line="580" w:lineRule="exact"/>
        <w:ind w:firstLine="600"/>
        <w:rPr>
          <w:rFonts w:hint="default" w:ascii="Times New Roman" w:hAnsi="Times New Roman" w:cs="Times New Roman" w:eastAsiaTheme="minorEastAsia"/>
          <w:sz w:val="30"/>
          <w:szCs w:val="30"/>
        </w:rPr>
      </w:pPr>
      <w:r>
        <w:rPr>
          <w:rFonts w:hint="default" w:ascii="Times New Roman" w:hAnsi="Times New Roman" w:cs="Times New Roman" w:eastAsiaTheme="minorEastAsia"/>
          <w:sz w:val="30"/>
          <w:szCs w:val="30"/>
        </w:rPr>
        <w:t> 7.文化旅游体育与传媒（类）支出0.00元，占一般公共预算财政拨款总支出的0.00%。</w:t>
      </w:r>
    </w:p>
    <w:p>
      <w:pPr>
        <w:pStyle w:val="8"/>
        <w:spacing w:before="0" w:after="0" w:line="590" w:lineRule="atLeast"/>
        <w:ind w:left="0" w:right="0" w:firstLine="600"/>
        <w:rPr>
          <w:rFonts w:hint="default" w:ascii="Times New Roman" w:hAnsi="Times New Roman" w:cs="Times New Roman" w:eastAsiaTheme="minorEastAsia"/>
          <w:sz w:val="30"/>
          <w:szCs w:val="30"/>
        </w:rPr>
      </w:pPr>
      <w:r>
        <w:rPr>
          <w:rFonts w:hint="default" w:ascii="Times New Roman" w:hAnsi="Times New Roman" w:cs="Times New Roman" w:eastAsiaTheme="minorEastAsia"/>
          <w:sz w:val="30"/>
          <w:szCs w:val="30"/>
        </w:rPr>
        <w:t> 8.社会保障和就业（类）支出2,905,581.08元，占一般公共预算财政拨款总支出的12.48%。 </w:t>
      </w:r>
      <w:r>
        <w:rPr>
          <w:rFonts w:hint="default" w:ascii="Times New Roman" w:hAnsi="Times New Roman" w:cs="Times New Roman" w:eastAsiaTheme="minorEastAsia"/>
          <w:sz w:val="30"/>
          <w:szCs w:val="30"/>
        </w:rPr>
        <w:t>主要用于在职人员养老保险支出及离退休人员的离退休经费开支；</w:t>
      </w:r>
    </w:p>
    <w:p>
      <w:pPr>
        <w:autoSpaceDE w:val="0"/>
        <w:autoSpaceDN w:val="0"/>
        <w:spacing w:line="580" w:lineRule="exact"/>
        <w:ind w:firstLine="600"/>
        <w:rPr>
          <w:rFonts w:hint="default" w:ascii="Times New Roman" w:hAnsi="Times New Roman" w:cs="Times New Roman" w:eastAsiaTheme="minorEastAsia"/>
          <w:sz w:val="30"/>
          <w:szCs w:val="30"/>
        </w:rPr>
      </w:pPr>
      <w:r>
        <w:rPr>
          <w:rFonts w:hint="default" w:ascii="Times New Roman" w:hAnsi="Times New Roman" w:cs="Times New Roman" w:eastAsiaTheme="minorEastAsia"/>
          <w:sz w:val="30"/>
          <w:szCs w:val="30"/>
        </w:rPr>
        <w:t>9.卫生健康（类）支出974,220.20元，占一般公共预算财政拨款总支出的4.19%，主要用于事业单位医疗和公务员医疗补助。</w:t>
      </w:r>
    </w:p>
    <w:p>
      <w:pPr>
        <w:autoSpaceDE w:val="0"/>
        <w:autoSpaceDN w:val="0"/>
        <w:spacing w:line="580" w:lineRule="exact"/>
        <w:ind w:firstLine="600"/>
        <w:rPr>
          <w:rFonts w:hint="default" w:ascii="Times New Roman" w:hAnsi="Times New Roman" w:cs="Times New Roman" w:eastAsiaTheme="minorEastAsia"/>
          <w:sz w:val="30"/>
          <w:szCs w:val="30"/>
        </w:rPr>
      </w:pPr>
      <w:r>
        <w:rPr>
          <w:rFonts w:hint="default" w:ascii="Times New Roman" w:hAnsi="Times New Roman" w:cs="Times New Roman" w:eastAsiaTheme="minorEastAsia"/>
          <w:sz w:val="30"/>
          <w:szCs w:val="30"/>
        </w:rPr>
        <w:t> 10.节能环保（类）支出0.00元，占一般公共预算财政拨款总支出的0.00%。</w:t>
      </w:r>
    </w:p>
    <w:p>
      <w:pPr>
        <w:autoSpaceDE w:val="0"/>
        <w:autoSpaceDN w:val="0"/>
        <w:spacing w:line="580" w:lineRule="exact"/>
        <w:ind w:firstLine="600"/>
        <w:rPr>
          <w:rFonts w:hint="default" w:ascii="Times New Roman" w:hAnsi="Times New Roman" w:cs="Times New Roman" w:eastAsiaTheme="minorEastAsia"/>
          <w:sz w:val="30"/>
          <w:szCs w:val="30"/>
        </w:rPr>
      </w:pPr>
      <w:r>
        <w:rPr>
          <w:rFonts w:hint="default" w:ascii="Times New Roman" w:hAnsi="Times New Roman" w:cs="Times New Roman" w:eastAsiaTheme="minorEastAsia"/>
          <w:sz w:val="30"/>
          <w:szCs w:val="30"/>
        </w:rPr>
        <w:t> 11.城乡社区（类）支出0.00元，占一般公共预算财政拨款总支出的0.00%。</w:t>
      </w:r>
    </w:p>
    <w:p>
      <w:pPr>
        <w:autoSpaceDE w:val="0"/>
        <w:autoSpaceDN w:val="0"/>
        <w:spacing w:line="580" w:lineRule="exact"/>
        <w:ind w:firstLine="600"/>
        <w:rPr>
          <w:rFonts w:hint="default" w:ascii="Times New Roman" w:hAnsi="Times New Roman" w:cs="Times New Roman" w:eastAsiaTheme="minorEastAsia"/>
          <w:sz w:val="30"/>
          <w:szCs w:val="30"/>
        </w:rPr>
      </w:pPr>
      <w:r>
        <w:rPr>
          <w:rFonts w:hint="default" w:ascii="Times New Roman" w:hAnsi="Times New Roman" w:cs="Times New Roman" w:eastAsiaTheme="minorEastAsia"/>
          <w:sz w:val="30"/>
          <w:szCs w:val="30"/>
        </w:rPr>
        <w:t> 12.农林水（类）支出0.00元，占一般公共预算财政拨款总支出的0.00%。</w:t>
      </w:r>
    </w:p>
    <w:p>
      <w:pPr>
        <w:autoSpaceDE w:val="0"/>
        <w:autoSpaceDN w:val="0"/>
        <w:spacing w:line="580" w:lineRule="exact"/>
        <w:ind w:firstLine="600"/>
        <w:rPr>
          <w:rFonts w:hint="default" w:ascii="Times New Roman" w:hAnsi="Times New Roman" w:cs="Times New Roman" w:eastAsiaTheme="minorEastAsia"/>
          <w:sz w:val="30"/>
          <w:szCs w:val="30"/>
        </w:rPr>
      </w:pPr>
      <w:r>
        <w:rPr>
          <w:rFonts w:hint="default" w:ascii="Times New Roman" w:hAnsi="Times New Roman" w:cs="Times New Roman" w:eastAsiaTheme="minorEastAsia"/>
          <w:sz w:val="30"/>
          <w:szCs w:val="30"/>
        </w:rPr>
        <w:t> 13.交通运输（类）支出0.00元，占一般公共预算财政拨款总支出的0.00%。</w:t>
      </w:r>
    </w:p>
    <w:p>
      <w:pPr>
        <w:autoSpaceDE w:val="0"/>
        <w:autoSpaceDN w:val="0"/>
        <w:spacing w:line="580" w:lineRule="exact"/>
        <w:ind w:firstLine="600"/>
        <w:rPr>
          <w:rFonts w:hint="default" w:ascii="Times New Roman" w:hAnsi="Times New Roman" w:cs="Times New Roman" w:eastAsiaTheme="minorEastAsia"/>
          <w:sz w:val="30"/>
          <w:szCs w:val="30"/>
        </w:rPr>
      </w:pPr>
      <w:r>
        <w:rPr>
          <w:rFonts w:hint="default" w:ascii="Times New Roman" w:hAnsi="Times New Roman" w:cs="Times New Roman" w:eastAsiaTheme="minorEastAsia"/>
          <w:sz w:val="30"/>
          <w:szCs w:val="30"/>
        </w:rPr>
        <w:t> 14.资源勘探工业信息等（类）支出类0.00元，占一般公共预算财政拨款总支出的0.00%。</w:t>
      </w:r>
    </w:p>
    <w:p>
      <w:pPr>
        <w:autoSpaceDE w:val="0"/>
        <w:autoSpaceDN w:val="0"/>
        <w:spacing w:line="580" w:lineRule="exact"/>
        <w:ind w:firstLine="600"/>
        <w:rPr>
          <w:rFonts w:hint="default" w:ascii="Times New Roman" w:hAnsi="Times New Roman" w:cs="Times New Roman" w:eastAsiaTheme="minorEastAsia"/>
          <w:sz w:val="30"/>
          <w:szCs w:val="30"/>
        </w:rPr>
      </w:pPr>
      <w:r>
        <w:rPr>
          <w:rFonts w:hint="default" w:ascii="Times New Roman" w:hAnsi="Times New Roman" w:cs="Times New Roman" w:eastAsiaTheme="minorEastAsia"/>
          <w:sz w:val="30"/>
          <w:szCs w:val="30"/>
        </w:rPr>
        <w:t> 15.商业服务业等（类）支出0.00元，占一般公共预算财政拨款总支出的0.00%。</w:t>
      </w:r>
    </w:p>
    <w:p>
      <w:pPr>
        <w:autoSpaceDE w:val="0"/>
        <w:autoSpaceDN w:val="0"/>
        <w:spacing w:line="580" w:lineRule="exact"/>
        <w:ind w:firstLine="600"/>
        <w:rPr>
          <w:rFonts w:hint="default" w:ascii="Times New Roman" w:hAnsi="Times New Roman" w:cs="Times New Roman" w:eastAsiaTheme="minorEastAsia"/>
          <w:sz w:val="30"/>
          <w:szCs w:val="30"/>
        </w:rPr>
      </w:pPr>
      <w:r>
        <w:rPr>
          <w:rFonts w:hint="default" w:ascii="Times New Roman" w:hAnsi="Times New Roman" w:cs="Times New Roman" w:eastAsiaTheme="minorEastAsia"/>
          <w:sz w:val="30"/>
          <w:szCs w:val="30"/>
        </w:rPr>
        <w:t> 16.金融（类）支出0.00元，占一般公共预算财政拨款总支出的0.00%。</w:t>
      </w:r>
    </w:p>
    <w:p>
      <w:pPr>
        <w:autoSpaceDE w:val="0"/>
        <w:autoSpaceDN w:val="0"/>
        <w:spacing w:line="580" w:lineRule="exact"/>
        <w:ind w:firstLine="600"/>
        <w:rPr>
          <w:rFonts w:hint="default" w:ascii="Times New Roman" w:hAnsi="Times New Roman" w:cs="Times New Roman" w:eastAsiaTheme="minorEastAsia"/>
          <w:sz w:val="30"/>
          <w:szCs w:val="30"/>
        </w:rPr>
      </w:pPr>
      <w:r>
        <w:rPr>
          <w:rFonts w:hint="default" w:ascii="Times New Roman" w:hAnsi="Times New Roman" w:cs="Times New Roman" w:eastAsiaTheme="minorEastAsia"/>
          <w:sz w:val="30"/>
          <w:szCs w:val="30"/>
        </w:rPr>
        <w:t> 17.援助其他地区（类）支出0.00元，占一般公共预算财政拨款总支出的0.00%。</w:t>
      </w:r>
    </w:p>
    <w:p>
      <w:pPr>
        <w:autoSpaceDE w:val="0"/>
        <w:autoSpaceDN w:val="0"/>
        <w:spacing w:line="580" w:lineRule="exact"/>
        <w:ind w:firstLine="600"/>
        <w:rPr>
          <w:rFonts w:hint="default" w:ascii="Times New Roman" w:hAnsi="Times New Roman" w:cs="Times New Roman" w:eastAsiaTheme="minorEastAsia"/>
          <w:sz w:val="30"/>
          <w:szCs w:val="30"/>
        </w:rPr>
      </w:pPr>
      <w:r>
        <w:rPr>
          <w:rFonts w:hint="default" w:ascii="Times New Roman" w:hAnsi="Times New Roman" w:cs="Times New Roman" w:eastAsiaTheme="minorEastAsia"/>
          <w:sz w:val="30"/>
          <w:szCs w:val="30"/>
        </w:rPr>
        <w:t> 18.自然资源海洋气象等（类）支出0.00元，占一般公共预算财政拨款总支出的0.00%。</w:t>
      </w:r>
    </w:p>
    <w:p>
      <w:pPr>
        <w:pStyle w:val="8"/>
        <w:spacing w:before="0" w:after="0" w:line="590" w:lineRule="atLeast"/>
        <w:ind w:left="0" w:right="0" w:firstLine="600"/>
        <w:rPr>
          <w:rFonts w:hint="default" w:ascii="Times New Roman" w:hAnsi="Times New Roman" w:cs="Times New Roman" w:eastAsiaTheme="minorEastAsia"/>
          <w:sz w:val="30"/>
          <w:szCs w:val="30"/>
        </w:rPr>
      </w:pPr>
      <w:r>
        <w:rPr>
          <w:rFonts w:hint="default" w:ascii="Times New Roman" w:hAnsi="Times New Roman" w:cs="Times New Roman" w:eastAsiaTheme="minorEastAsia"/>
          <w:sz w:val="30"/>
          <w:szCs w:val="30"/>
        </w:rPr>
        <w:t> 19.住房保障（类）支出1,743,188.51元，占一般公共预算财政拨款总支出的7.49%。</w:t>
      </w:r>
      <w:r>
        <w:rPr>
          <w:rFonts w:hint="default" w:ascii="Times New Roman" w:hAnsi="Times New Roman" w:cs="Times New Roman" w:eastAsiaTheme="minorEastAsia"/>
          <w:sz w:val="30"/>
          <w:szCs w:val="30"/>
        </w:rPr>
        <w:t>主要用于按规定比例为教职工缴纳的住房公积金和向符合条件职工发放的用于购买住房的补贴支出；</w:t>
      </w:r>
    </w:p>
    <w:p>
      <w:pPr>
        <w:autoSpaceDE w:val="0"/>
        <w:autoSpaceDN w:val="0"/>
        <w:spacing w:line="580" w:lineRule="exact"/>
        <w:ind w:firstLine="600"/>
        <w:rPr>
          <w:rFonts w:hint="default" w:ascii="Times New Roman" w:hAnsi="Times New Roman" w:cs="Times New Roman" w:eastAsiaTheme="minorEastAsia"/>
          <w:sz w:val="30"/>
          <w:szCs w:val="30"/>
        </w:rPr>
      </w:pPr>
      <w:r>
        <w:rPr>
          <w:rFonts w:hint="default" w:ascii="Times New Roman" w:hAnsi="Times New Roman" w:cs="Times New Roman" w:eastAsiaTheme="minorEastAsia"/>
          <w:sz w:val="30"/>
          <w:szCs w:val="30"/>
        </w:rPr>
        <w:t> 20.粮油物资储备（类）支出0.00元，占一般公共预算财政拨款总支出的0.00%。</w:t>
      </w:r>
    </w:p>
    <w:p>
      <w:pPr>
        <w:autoSpaceDE w:val="0"/>
        <w:autoSpaceDN w:val="0"/>
        <w:spacing w:line="580" w:lineRule="exact"/>
        <w:ind w:firstLine="600"/>
        <w:rPr>
          <w:rFonts w:hint="default" w:ascii="Times New Roman" w:hAnsi="Times New Roman" w:cs="Times New Roman" w:eastAsiaTheme="minorEastAsia"/>
          <w:sz w:val="30"/>
          <w:szCs w:val="30"/>
        </w:rPr>
      </w:pPr>
      <w:r>
        <w:rPr>
          <w:rFonts w:hint="default" w:ascii="Times New Roman" w:hAnsi="Times New Roman" w:cs="Times New Roman" w:eastAsiaTheme="minorEastAsia"/>
          <w:sz w:val="30"/>
          <w:szCs w:val="30"/>
        </w:rPr>
        <w:t> 21.国有资本经营预算（类）支出0.00元，占一般公共预算财政拨款总支出的0.00%。</w:t>
      </w:r>
    </w:p>
    <w:p>
      <w:pPr>
        <w:autoSpaceDE w:val="0"/>
        <w:autoSpaceDN w:val="0"/>
        <w:spacing w:line="580" w:lineRule="exact"/>
        <w:ind w:firstLine="600"/>
        <w:rPr>
          <w:rFonts w:hint="default" w:ascii="Times New Roman" w:hAnsi="Times New Roman" w:cs="Times New Roman" w:eastAsiaTheme="minorEastAsia"/>
          <w:sz w:val="30"/>
          <w:szCs w:val="30"/>
        </w:rPr>
      </w:pPr>
      <w:r>
        <w:rPr>
          <w:rFonts w:hint="default" w:ascii="Times New Roman" w:hAnsi="Times New Roman" w:cs="Times New Roman" w:eastAsiaTheme="minorEastAsia"/>
          <w:sz w:val="30"/>
          <w:szCs w:val="30"/>
        </w:rPr>
        <w:t> 22.灾害防治及应急管理（类）支出0.00元，占一般公共预算财政拨款总支出的0.00%。</w:t>
      </w:r>
    </w:p>
    <w:p>
      <w:pPr>
        <w:autoSpaceDE w:val="0"/>
        <w:autoSpaceDN w:val="0"/>
        <w:spacing w:line="580" w:lineRule="exact"/>
        <w:ind w:firstLine="600"/>
        <w:rPr>
          <w:rFonts w:hint="default" w:ascii="Times New Roman" w:hAnsi="Times New Roman" w:cs="Times New Roman" w:eastAsiaTheme="minorEastAsia"/>
          <w:sz w:val="30"/>
          <w:szCs w:val="30"/>
        </w:rPr>
      </w:pPr>
      <w:r>
        <w:rPr>
          <w:rFonts w:hint="default" w:ascii="Times New Roman" w:hAnsi="Times New Roman" w:cs="Times New Roman" w:eastAsiaTheme="minorEastAsia"/>
          <w:sz w:val="30"/>
          <w:szCs w:val="30"/>
        </w:rPr>
        <w:t> 23.其他（类）支出0.00元，占一般公共预算财政拨款总支出的0.00%。</w:t>
      </w:r>
    </w:p>
    <w:p>
      <w:pPr>
        <w:autoSpaceDE w:val="0"/>
        <w:autoSpaceDN w:val="0"/>
        <w:spacing w:line="580" w:lineRule="exact"/>
        <w:ind w:firstLine="600"/>
        <w:rPr>
          <w:rFonts w:hint="default" w:ascii="Times New Roman" w:hAnsi="Times New Roman" w:cs="Times New Roman" w:eastAsiaTheme="minorEastAsia"/>
          <w:sz w:val="30"/>
          <w:szCs w:val="30"/>
        </w:rPr>
      </w:pPr>
      <w:r>
        <w:rPr>
          <w:rFonts w:hint="default" w:ascii="Times New Roman" w:hAnsi="Times New Roman" w:cs="Times New Roman" w:eastAsiaTheme="minorEastAsia"/>
          <w:sz w:val="30"/>
          <w:szCs w:val="30"/>
        </w:rPr>
        <w:t> 24.债务还本（类）支出0.00元，占一般公共预算财政拨款总支出的0.00%。</w:t>
      </w:r>
    </w:p>
    <w:p>
      <w:pPr>
        <w:autoSpaceDE w:val="0"/>
        <w:autoSpaceDN w:val="0"/>
        <w:spacing w:line="580" w:lineRule="exact"/>
        <w:ind w:firstLine="600"/>
        <w:rPr>
          <w:rFonts w:hint="default" w:ascii="Times New Roman" w:hAnsi="Times New Roman" w:cs="Times New Roman" w:eastAsiaTheme="minorEastAsia"/>
          <w:sz w:val="30"/>
          <w:szCs w:val="30"/>
        </w:rPr>
      </w:pPr>
      <w:r>
        <w:rPr>
          <w:rFonts w:hint="default" w:ascii="Times New Roman" w:hAnsi="Times New Roman" w:cs="Times New Roman" w:eastAsiaTheme="minorEastAsia"/>
          <w:sz w:val="30"/>
          <w:szCs w:val="30"/>
        </w:rPr>
        <w:t> 25.债务付息（类）支出0.00元，占一般公共预算财政拨款总支出的0.00%。</w:t>
      </w:r>
    </w:p>
    <w:p>
      <w:pPr>
        <w:autoSpaceDE w:val="0"/>
        <w:autoSpaceDN w:val="0"/>
        <w:spacing w:line="580" w:lineRule="exact"/>
        <w:ind w:firstLine="600"/>
        <w:rPr>
          <w:rFonts w:hint="default" w:ascii="Times New Roman" w:hAnsi="Times New Roman" w:cs="Times New Roman" w:eastAsiaTheme="minorEastAsia"/>
          <w:sz w:val="30"/>
          <w:szCs w:val="30"/>
        </w:rPr>
      </w:pPr>
      <w:r>
        <w:rPr>
          <w:rFonts w:hint="default" w:ascii="Times New Roman" w:hAnsi="Times New Roman" w:cs="Times New Roman" w:eastAsiaTheme="minorEastAsia"/>
          <w:sz w:val="30"/>
          <w:szCs w:val="30"/>
        </w:rPr>
        <w:t> 26.抗疫特别国债安排（类）支出0.00元，占一般公共预算财政拨款总支出的0.00%。</w:t>
      </w:r>
    </w:p>
    <w:p>
      <w:pPr>
        <w:autoSpaceDE w:val="0"/>
        <w:autoSpaceDN w:val="0"/>
        <w:spacing w:line="580" w:lineRule="exact"/>
        <w:ind w:firstLine="601"/>
        <w:rPr>
          <w:rFonts w:hint="default" w:ascii="Times New Roman" w:hAnsi="Times New Roman" w:cs="Times New Roman" w:eastAsiaTheme="minorEastAsia"/>
          <w:sz w:val="30"/>
          <w:szCs w:val="30"/>
        </w:rPr>
      </w:pPr>
      <w:r>
        <w:rPr>
          <w:rFonts w:hint="default" w:ascii="Times New Roman" w:hAnsi="Times New Roman" w:cs="Times New Roman" w:eastAsiaTheme="minorEastAsia"/>
          <w:sz w:val="30"/>
          <w:szCs w:val="30"/>
        </w:rPr>
        <w:t>四、财政拨款“三公”经费支出决算情况说明</w:t>
      </w:r>
    </w:p>
    <w:p>
      <w:pPr>
        <w:autoSpaceDE w:val="0"/>
        <w:autoSpaceDN w:val="0"/>
        <w:spacing w:line="580" w:lineRule="exact"/>
        <w:ind w:firstLine="601"/>
        <w:rPr>
          <w:rFonts w:hint="default" w:ascii="Times New Roman" w:hAnsi="Times New Roman" w:cs="Times New Roman" w:eastAsiaTheme="minorEastAsia"/>
          <w:sz w:val="30"/>
          <w:szCs w:val="30"/>
        </w:rPr>
      </w:pPr>
      <w:r>
        <w:rPr>
          <w:rFonts w:hint="default" w:ascii="Times New Roman" w:hAnsi="Times New Roman" w:cs="Times New Roman" w:eastAsiaTheme="minorEastAsia"/>
          <w:sz w:val="30"/>
          <w:szCs w:val="30"/>
        </w:rPr>
        <w:t>2022年度财政拨款“三公”经费支出决算中，财政拨款“三公”经费支出</w:t>
      </w:r>
      <w:r>
        <w:rPr>
          <w:rFonts w:hint="eastAsia" w:ascii="Times New Roman" w:hAnsi="Times New Roman" w:cs="Times New Roman" w:eastAsiaTheme="minorEastAsia"/>
          <w:sz w:val="30"/>
          <w:szCs w:val="30"/>
          <w:lang w:val="en-US" w:eastAsia="zh-CN"/>
        </w:rPr>
        <w:t>调整</w:t>
      </w:r>
      <w:r>
        <w:rPr>
          <w:rFonts w:hint="default" w:ascii="Times New Roman" w:hAnsi="Times New Roman" w:cs="Times New Roman" w:eastAsiaTheme="minorEastAsia"/>
          <w:sz w:val="30"/>
          <w:szCs w:val="30"/>
        </w:rPr>
        <w:t>预算</w:t>
      </w:r>
      <w:r>
        <w:rPr>
          <w:rFonts w:hint="eastAsia" w:ascii="Times New Roman" w:hAnsi="Times New Roman" w:cs="Times New Roman" w:eastAsiaTheme="minorEastAsia"/>
          <w:sz w:val="30"/>
          <w:szCs w:val="30"/>
          <w:lang w:val="en-US" w:eastAsia="zh-CN"/>
        </w:rPr>
        <w:t>数</w:t>
      </w:r>
      <w:r>
        <w:rPr>
          <w:rFonts w:hint="default" w:ascii="Times New Roman" w:hAnsi="Times New Roman" w:cs="Times New Roman" w:eastAsiaTheme="minorEastAsia"/>
          <w:sz w:val="30"/>
          <w:szCs w:val="30"/>
        </w:rPr>
        <w:t>为4,010.00元，支出决算为4,010.00元，完成年初预算的100</w:t>
      </w:r>
      <w:r>
        <w:rPr>
          <w:rFonts w:hint="eastAsia" w:ascii="Times New Roman" w:hAnsi="Times New Roman" w:cs="Times New Roman" w:eastAsiaTheme="minorEastAsia"/>
          <w:sz w:val="30"/>
          <w:szCs w:val="30"/>
          <w:lang w:val="en-US" w:eastAsia="zh-CN"/>
        </w:rPr>
        <w:t>.00</w:t>
      </w:r>
      <w:r>
        <w:rPr>
          <w:rFonts w:hint="default" w:ascii="Times New Roman" w:hAnsi="Times New Roman" w:cs="Times New Roman" w:eastAsiaTheme="minorEastAsia"/>
          <w:sz w:val="30"/>
          <w:szCs w:val="30"/>
        </w:rPr>
        <w:t>%。其中：因公出国（境）费支出决算0.00元，占总支出决算的0.00%；公务用车购置费支出决算0.00元，占总支出决算的0.00%；公务用车运行维护费支出决算2,200.00元，占总支出决算的54.86%；公务接待费支出决算1,810.00元，占总支出决算的45.14%，具体是国内接待费支出决算1,810.00元（其中：外事接待费支出决算0.00元），国（境）外接待费支出决算0.00元。</w:t>
      </w:r>
    </w:p>
    <w:p>
      <w:pPr>
        <w:autoSpaceDE w:val="0"/>
        <w:autoSpaceDN w:val="0"/>
        <w:spacing w:line="580" w:lineRule="exact"/>
        <w:ind w:firstLine="600"/>
        <w:rPr>
          <w:rFonts w:hint="default" w:ascii="Times New Roman" w:hAnsi="Times New Roman" w:cs="Times New Roman" w:eastAsiaTheme="minorEastAsia"/>
          <w:sz w:val="30"/>
          <w:szCs w:val="30"/>
        </w:rPr>
      </w:pPr>
      <w:r>
        <w:rPr>
          <w:rFonts w:hint="default" w:ascii="Times New Roman" w:hAnsi="Times New Roman" w:cs="Times New Roman" w:eastAsiaTheme="minorEastAsia"/>
          <w:sz w:val="30"/>
          <w:szCs w:val="30"/>
        </w:rPr>
        <w:t>(一)一般公共预算财政拨款“三公”经费支出决算总体情况</w:t>
      </w:r>
    </w:p>
    <w:p>
      <w:pPr>
        <w:autoSpaceDE w:val="0"/>
        <w:autoSpaceDN w:val="0"/>
        <w:spacing w:line="580" w:lineRule="exact"/>
        <w:ind w:firstLine="601"/>
        <w:rPr>
          <w:rFonts w:hint="default" w:ascii="Times New Roman" w:hAnsi="Times New Roman" w:cs="Times New Roman" w:eastAsiaTheme="minorEastAsia"/>
          <w:sz w:val="30"/>
          <w:szCs w:val="30"/>
        </w:rPr>
      </w:pPr>
      <w:r>
        <w:rPr>
          <w:rFonts w:hint="default" w:ascii="Times New Roman" w:hAnsi="Times New Roman" w:cs="Times New Roman" w:eastAsiaTheme="minorEastAsia"/>
          <w:sz w:val="30"/>
          <w:szCs w:val="30"/>
        </w:rPr>
        <w:t>峨山彝族自治县职业高级中学2022年度一般公共预算财政拨款“三公”经费支出年初预算为</w:t>
      </w:r>
      <w:r>
        <w:rPr>
          <w:rFonts w:hint="eastAsia" w:ascii="Times New Roman" w:hAnsi="Times New Roman" w:cs="Times New Roman" w:eastAsiaTheme="minorEastAsia"/>
          <w:sz w:val="30"/>
          <w:szCs w:val="30"/>
          <w:lang w:val="en-US" w:eastAsia="zh-CN"/>
        </w:rPr>
        <w:t>43,500.00</w:t>
      </w:r>
      <w:r>
        <w:rPr>
          <w:rFonts w:hint="default" w:ascii="Times New Roman" w:hAnsi="Times New Roman" w:cs="Times New Roman" w:eastAsiaTheme="minorEastAsia"/>
          <w:sz w:val="30"/>
          <w:szCs w:val="30"/>
        </w:rPr>
        <w:t>元，支出决算4,010.00元，完成年初预算的</w:t>
      </w:r>
      <w:r>
        <w:rPr>
          <w:rFonts w:hint="eastAsia" w:ascii="Times New Roman" w:hAnsi="Times New Roman" w:cs="Times New Roman" w:eastAsiaTheme="minorEastAsia"/>
          <w:sz w:val="30"/>
          <w:szCs w:val="30"/>
          <w:lang w:val="en-US" w:eastAsia="zh-CN"/>
        </w:rPr>
        <w:t>9.22</w:t>
      </w:r>
      <w:r>
        <w:rPr>
          <w:rFonts w:hint="default" w:ascii="Times New Roman" w:hAnsi="Times New Roman" w:cs="Times New Roman" w:eastAsiaTheme="minorEastAsia"/>
          <w:sz w:val="30"/>
          <w:szCs w:val="30"/>
        </w:rPr>
        <w:t>%。其中：因公出国（境）费支出决算为0.00元，完成年初预算的0</w:t>
      </w:r>
      <w:r>
        <w:rPr>
          <w:rFonts w:hint="eastAsia" w:ascii="Times New Roman" w:hAnsi="Times New Roman" w:cs="Times New Roman" w:eastAsiaTheme="minorEastAsia"/>
          <w:sz w:val="30"/>
          <w:szCs w:val="30"/>
          <w:lang w:val="en-US" w:eastAsia="zh-CN"/>
        </w:rPr>
        <w:t>.00</w:t>
      </w:r>
      <w:r>
        <w:rPr>
          <w:rFonts w:hint="default" w:ascii="Times New Roman" w:hAnsi="Times New Roman" w:cs="Times New Roman" w:eastAsiaTheme="minorEastAsia"/>
          <w:sz w:val="30"/>
          <w:szCs w:val="30"/>
        </w:rPr>
        <w:t>%；公务用车购置费支出决算为0.00元，完成年初预算的0</w:t>
      </w:r>
      <w:r>
        <w:rPr>
          <w:rFonts w:hint="eastAsia" w:ascii="Times New Roman" w:hAnsi="Times New Roman" w:cs="Times New Roman" w:eastAsiaTheme="minorEastAsia"/>
          <w:sz w:val="30"/>
          <w:szCs w:val="30"/>
          <w:lang w:val="en-US" w:eastAsia="zh-CN"/>
        </w:rPr>
        <w:t>.00</w:t>
      </w:r>
      <w:r>
        <w:rPr>
          <w:rFonts w:hint="default" w:ascii="Times New Roman" w:hAnsi="Times New Roman" w:cs="Times New Roman" w:eastAsiaTheme="minorEastAsia"/>
          <w:sz w:val="30"/>
          <w:szCs w:val="30"/>
        </w:rPr>
        <w:t>%；公务用车运行维护费支出决算为2,200.00元，完成年初预算的</w:t>
      </w:r>
      <w:r>
        <w:rPr>
          <w:rFonts w:hint="eastAsia" w:ascii="Times New Roman" w:hAnsi="Times New Roman" w:cs="Times New Roman" w:eastAsiaTheme="minorEastAsia"/>
          <w:sz w:val="30"/>
          <w:szCs w:val="30"/>
          <w:lang w:val="en-US" w:eastAsia="zh-CN"/>
        </w:rPr>
        <w:t>5.31</w:t>
      </w:r>
      <w:r>
        <w:rPr>
          <w:rFonts w:hint="default" w:ascii="Times New Roman" w:hAnsi="Times New Roman" w:cs="Times New Roman" w:eastAsiaTheme="minorEastAsia"/>
          <w:sz w:val="30"/>
          <w:szCs w:val="30"/>
        </w:rPr>
        <w:t>%；公务接待费支出决算为1,810.00元，完成年初预算的</w:t>
      </w:r>
      <w:r>
        <w:rPr>
          <w:rFonts w:hint="eastAsia" w:ascii="Times New Roman" w:hAnsi="Times New Roman" w:cs="Times New Roman" w:eastAsiaTheme="minorEastAsia"/>
          <w:sz w:val="30"/>
          <w:szCs w:val="30"/>
          <w:lang w:val="en-US" w:eastAsia="zh-CN"/>
        </w:rPr>
        <w:t>86.19</w:t>
      </w:r>
      <w:r>
        <w:rPr>
          <w:rFonts w:hint="default" w:ascii="Times New Roman" w:hAnsi="Times New Roman" w:cs="Times New Roman" w:eastAsiaTheme="minorEastAsia"/>
          <w:sz w:val="30"/>
          <w:szCs w:val="30"/>
        </w:rPr>
        <w:t>%。</w:t>
      </w:r>
      <w:r>
        <w:rPr>
          <w:rFonts w:hint="eastAsia" w:ascii="Times New Roman" w:hAnsi="Times New Roman" w:cs="Times New Roman" w:eastAsiaTheme="minorEastAsia"/>
          <w:sz w:val="30"/>
          <w:szCs w:val="30"/>
          <w:lang w:eastAsia="zh-CN"/>
        </w:rPr>
        <w:t>经费支出决算数小于年初预算的</w:t>
      </w:r>
      <w:r>
        <w:rPr>
          <w:rFonts w:hint="default" w:ascii="Times New Roman" w:hAnsi="Times New Roman" w:cs="Times New Roman" w:eastAsiaTheme="minorEastAsia"/>
          <w:sz w:val="30"/>
          <w:szCs w:val="30"/>
        </w:rPr>
        <w:t>主要原因是严格控制公车的出行，另外公务用车运行维护费因财政困难未支付，形成欠款。</w:t>
      </w:r>
    </w:p>
    <w:p>
      <w:pPr>
        <w:autoSpaceDE w:val="0"/>
        <w:autoSpaceDN w:val="0"/>
        <w:spacing w:line="580" w:lineRule="exact"/>
        <w:ind w:firstLine="601"/>
        <w:rPr>
          <w:rFonts w:hint="default" w:ascii="Times New Roman" w:hAnsi="Times New Roman" w:cs="Times New Roman" w:eastAsiaTheme="minorEastAsia"/>
          <w:sz w:val="30"/>
          <w:szCs w:val="30"/>
        </w:rPr>
      </w:pPr>
      <w:r>
        <w:rPr>
          <w:rFonts w:hint="default" w:ascii="Times New Roman" w:hAnsi="Times New Roman" w:cs="Times New Roman" w:eastAsiaTheme="minorEastAsia"/>
          <w:sz w:val="30"/>
          <w:szCs w:val="30"/>
        </w:rPr>
        <w:t>2022年度一般公共预算财政拨款“三公”经费支出决算数比上年减少43,005.19元，下降91.47%。其中：因公出国（境）费支出决算增加0.00元，增长0.00%；公务用车购置费支出决算增加0.00元，增长0.00%；公务用车运行维护费支出决算减少43,657.19元，下降95.20%；公务接待费支出决算增加652.00元，增长56.30%。2022年度一般公共预算财政拨款“三公”经费支出决算减少的主要原因是严格控制公车的出行，另外公务用车运行维护费因财政困难未支付，形成欠款；公务接待费增加的原因是上年未支付部分在本年支付，本年实际支出未增加。</w:t>
      </w:r>
    </w:p>
    <w:p>
      <w:pPr>
        <w:autoSpaceDE w:val="0"/>
        <w:autoSpaceDN w:val="0"/>
        <w:spacing w:line="580" w:lineRule="exact"/>
        <w:ind w:firstLine="600"/>
        <w:rPr>
          <w:rFonts w:hint="default" w:ascii="Times New Roman" w:hAnsi="Times New Roman" w:cs="Times New Roman" w:eastAsiaTheme="minorEastAsia"/>
          <w:sz w:val="30"/>
          <w:szCs w:val="30"/>
        </w:rPr>
      </w:pPr>
      <w:r>
        <w:rPr>
          <w:rFonts w:hint="default" w:ascii="Times New Roman" w:hAnsi="Times New Roman" w:cs="Times New Roman" w:eastAsiaTheme="minorEastAsia"/>
          <w:sz w:val="30"/>
          <w:szCs w:val="30"/>
        </w:rPr>
        <w:t>(二) 一般公共预算财政拨款“三公”经费支出实物量的具体情况</w:t>
      </w:r>
    </w:p>
    <w:p>
      <w:pPr>
        <w:autoSpaceDE w:val="0"/>
        <w:autoSpaceDN w:val="0"/>
        <w:spacing w:line="580" w:lineRule="exact"/>
        <w:ind w:firstLine="602"/>
        <w:rPr>
          <w:rFonts w:hint="default" w:ascii="Times New Roman" w:hAnsi="Times New Roman" w:cs="Times New Roman" w:eastAsiaTheme="minorEastAsia"/>
          <w:sz w:val="30"/>
          <w:szCs w:val="30"/>
        </w:rPr>
      </w:pPr>
      <w:r>
        <w:rPr>
          <w:rFonts w:hint="default" w:ascii="Times New Roman" w:hAnsi="Times New Roman" w:cs="Times New Roman" w:eastAsiaTheme="minorEastAsia"/>
          <w:b/>
          <w:bCs/>
          <w:sz w:val="30"/>
          <w:szCs w:val="30"/>
        </w:rPr>
        <w:t>1.</w:t>
      </w:r>
      <w:r>
        <w:rPr>
          <w:rFonts w:hint="default" w:ascii="Times New Roman" w:hAnsi="Times New Roman" w:cs="Times New Roman" w:eastAsiaTheme="minorEastAsia"/>
          <w:sz w:val="30"/>
          <w:szCs w:val="30"/>
        </w:rPr>
        <w:t>安排因公出国（境）团组0个，累计0人次。</w:t>
      </w:r>
    </w:p>
    <w:p>
      <w:pPr>
        <w:autoSpaceDE w:val="0"/>
        <w:autoSpaceDN w:val="0"/>
        <w:spacing w:line="580" w:lineRule="exact"/>
        <w:ind w:firstLine="602"/>
        <w:rPr>
          <w:rFonts w:hint="default" w:ascii="Times New Roman" w:hAnsi="Times New Roman" w:cs="Times New Roman" w:eastAsiaTheme="minorEastAsia"/>
          <w:sz w:val="30"/>
          <w:szCs w:val="30"/>
          <w:lang w:val="en-US" w:eastAsia="zh-CN"/>
        </w:rPr>
      </w:pPr>
      <w:r>
        <w:rPr>
          <w:rFonts w:hint="default" w:ascii="Times New Roman" w:hAnsi="Times New Roman" w:cs="Times New Roman" w:eastAsiaTheme="minorEastAsia"/>
          <w:b/>
          <w:bCs/>
          <w:sz w:val="30"/>
          <w:szCs w:val="30"/>
        </w:rPr>
        <w:t>2.</w:t>
      </w:r>
      <w:r>
        <w:rPr>
          <w:rFonts w:hint="default" w:ascii="Times New Roman" w:hAnsi="Times New Roman" w:cs="Times New Roman" w:eastAsiaTheme="minorEastAsia"/>
          <w:sz w:val="30"/>
          <w:szCs w:val="30"/>
        </w:rPr>
        <w:t>购置车辆0辆</w:t>
      </w:r>
      <w:r>
        <w:rPr>
          <w:rFonts w:hint="eastAsia" w:ascii="Times New Roman" w:hAnsi="Times New Roman" w:cs="Times New Roman" w:eastAsiaTheme="minorEastAsia"/>
          <w:sz w:val="30"/>
          <w:szCs w:val="30"/>
          <w:lang w:eastAsia="zh-CN"/>
        </w:rPr>
        <w:t>；公务用车</w:t>
      </w:r>
      <w:r>
        <w:rPr>
          <w:rFonts w:hint="eastAsia" w:ascii="Times New Roman" w:hAnsi="Times New Roman" w:cs="Times New Roman" w:eastAsiaTheme="minorEastAsia"/>
          <w:sz w:val="30"/>
          <w:szCs w:val="30"/>
          <w:lang w:val="en-US" w:eastAsia="zh-CN"/>
        </w:rPr>
        <w:t>保有量2辆，</w:t>
      </w:r>
      <w:r>
        <w:rPr>
          <w:rFonts w:hint="eastAsia" w:ascii="Times New Roman" w:hAnsi="Times New Roman" w:cs="Times New Roman" w:eastAsiaTheme="minorEastAsia"/>
          <w:sz w:val="30"/>
          <w:szCs w:val="30"/>
          <w:lang w:eastAsia="zh-CN"/>
        </w:rPr>
        <w:t>公务用车运行维护支出</w:t>
      </w:r>
      <w:r>
        <w:rPr>
          <w:rFonts w:hint="eastAsia" w:ascii="Times New Roman" w:hAnsi="Times New Roman" w:cs="Times New Roman" w:eastAsiaTheme="minorEastAsia"/>
          <w:sz w:val="30"/>
          <w:szCs w:val="30"/>
          <w:lang w:val="en-US" w:eastAsia="zh-CN"/>
        </w:rPr>
        <w:t>2,200.00元，主要用于燃油、保险等支出。</w:t>
      </w:r>
    </w:p>
    <w:p>
      <w:pPr>
        <w:autoSpaceDE w:val="0"/>
        <w:autoSpaceDN w:val="0"/>
        <w:spacing w:line="580" w:lineRule="exact"/>
        <w:ind w:firstLine="602"/>
        <w:rPr>
          <w:rFonts w:hint="default" w:ascii="Times New Roman" w:hAnsi="Times New Roman" w:cs="Times New Roman" w:eastAsiaTheme="minorEastAsia"/>
          <w:sz w:val="30"/>
          <w:szCs w:val="30"/>
        </w:rPr>
      </w:pPr>
      <w:r>
        <w:rPr>
          <w:rFonts w:hint="default" w:ascii="Times New Roman" w:hAnsi="Times New Roman" w:cs="Times New Roman" w:eastAsiaTheme="minorEastAsia"/>
          <w:b/>
          <w:bCs/>
          <w:sz w:val="30"/>
          <w:szCs w:val="30"/>
        </w:rPr>
        <w:t>3.</w:t>
      </w:r>
      <w:r>
        <w:rPr>
          <w:rFonts w:hint="default" w:ascii="Times New Roman" w:hAnsi="Times New Roman" w:cs="Times New Roman" w:eastAsiaTheme="minorEastAsia"/>
          <w:sz w:val="30"/>
          <w:szCs w:val="30"/>
        </w:rPr>
        <w:t>安排国内公务接待2批次（其中：外事接待0批次），接待人次32人（其中：外事接待人次0人）。主要用于招生发生的接待支出。安排国（境）外公务接待0批次，接待人次0人。</w:t>
      </w:r>
    </w:p>
    <w:p>
      <w:pPr>
        <w:autoSpaceDE w:val="0"/>
        <w:autoSpaceDN w:val="0"/>
        <w:spacing w:line="580" w:lineRule="exact"/>
        <w:ind w:firstLine="600"/>
        <w:jc w:val="center"/>
        <w:rPr>
          <w:rFonts w:hint="default" w:ascii="Times New Roman" w:hAnsi="Times New Roman" w:cs="Times New Roman" w:eastAsiaTheme="minorEastAsia"/>
          <w:sz w:val="30"/>
          <w:szCs w:val="30"/>
        </w:rPr>
      </w:pPr>
      <w:r>
        <w:rPr>
          <w:rFonts w:hint="default" w:ascii="Times New Roman" w:hAnsi="Times New Roman" w:cs="Times New Roman" w:eastAsiaTheme="minorEastAsia"/>
          <w:sz w:val="30"/>
          <w:szCs w:val="30"/>
        </w:rPr>
        <w:t>第四部分 其他重要事项及相关口径情况说明</w:t>
      </w:r>
    </w:p>
    <w:p>
      <w:pPr>
        <w:autoSpaceDE w:val="0"/>
        <w:autoSpaceDN w:val="0"/>
        <w:spacing w:line="580" w:lineRule="exact"/>
        <w:ind w:firstLine="600"/>
        <w:rPr>
          <w:rFonts w:hint="default" w:ascii="Times New Roman" w:hAnsi="Times New Roman" w:cs="Times New Roman" w:eastAsiaTheme="minorEastAsia"/>
          <w:sz w:val="30"/>
          <w:szCs w:val="30"/>
        </w:rPr>
      </w:pPr>
      <w:r>
        <w:rPr>
          <w:rFonts w:hint="default" w:ascii="Times New Roman" w:hAnsi="Times New Roman" w:cs="Times New Roman" w:eastAsiaTheme="minorEastAsia"/>
          <w:sz w:val="30"/>
          <w:szCs w:val="30"/>
        </w:rPr>
        <w:t>一、机关运行经费支出情况</w:t>
      </w:r>
    </w:p>
    <w:p>
      <w:pPr>
        <w:keepNext w:val="0"/>
        <w:keepLines w:val="0"/>
        <w:widowControl w:val="0"/>
        <w:suppressLineNumbers w:val="0"/>
        <w:spacing w:before="0" w:beforeAutospacing="0" w:after="0" w:afterAutospacing="0"/>
        <w:ind w:left="0" w:right="0"/>
        <w:jc w:val="both"/>
        <w:rPr>
          <w:rFonts w:hint="default" w:ascii="Times New Roman" w:hAnsi="Times New Roman" w:cs="Times New Roman" w:eastAsiaTheme="minorEastAsia"/>
          <w:sz w:val="30"/>
          <w:szCs w:val="30"/>
        </w:rPr>
      </w:pPr>
      <w:r>
        <w:rPr>
          <w:rFonts w:hint="default" w:ascii="Times New Roman" w:hAnsi="Times New Roman" w:cs="Times New Roman" w:eastAsiaTheme="minorEastAsia"/>
          <w:sz w:val="30"/>
          <w:szCs w:val="30"/>
        </w:rPr>
        <w:t>峨山彝族自治县职业高级中学</w:t>
      </w:r>
      <w:r>
        <w:rPr>
          <w:rFonts w:hint="eastAsia" w:ascii="Times New Roman" w:hAnsi="Times New Roman" w:cs="Times New Roman" w:eastAsiaTheme="minorEastAsia"/>
          <w:sz w:val="30"/>
          <w:szCs w:val="30"/>
          <w:lang w:val="en-US" w:eastAsia="zh-CN"/>
        </w:rPr>
        <w:t>属事业单位，无机关运行经费安排</w:t>
      </w:r>
      <w:r>
        <w:rPr>
          <w:rFonts w:hint="default" w:ascii="Times New Roman" w:hAnsi="Times New Roman" w:cs="Times New Roman" w:eastAsiaTheme="minorEastAsia"/>
          <w:sz w:val="30"/>
          <w:szCs w:val="30"/>
        </w:rPr>
        <w:t>。</w:t>
      </w:r>
      <w:bookmarkStart w:id="0" w:name="_GoBack"/>
      <w:bookmarkEnd w:id="0"/>
    </w:p>
    <w:p>
      <w:pPr>
        <w:autoSpaceDE w:val="0"/>
        <w:autoSpaceDN w:val="0"/>
        <w:spacing w:line="580" w:lineRule="exact"/>
        <w:ind w:firstLine="600"/>
        <w:rPr>
          <w:rFonts w:hint="default" w:ascii="Times New Roman" w:hAnsi="Times New Roman" w:cs="Times New Roman" w:eastAsiaTheme="minorEastAsia"/>
          <w:sz w:val="30"/>
          <w:szCs w:val="30"/>
        </w:rPr>
      </w:pPr>
      <w:r>
        <w:rPr>
          <w:rFonts w:hint="default" w:ascii="Times New Roman" w:hAnsi="Times New Roman" w:cs="Times New Roman" w:eastAsiaTheme="minorEastAsia"/>
          <w:sz w:val="30"/>
          <w:szCs w:val="30"/>
        </w:rPr>
        <w:t>二、国有资产占用情况</w:t>
      </w:r>
    </w:p>
    <w:p>
      <w:pPr>
        <w:autoSpaceDE w:val="0"/>
        <w:autoSpaceDN w:val="0"/>
        <w:spacing w:line="580" w:lineRule="exact"/>
        <w:ind w:firstLine="600"/>
        <w:rPr>
          <w:rFonts w:hint="default" w:ascii="Times New Roman" w:hAnsi="Times New Roman" w:cs="Times New Roman" w:eastAsiaTheme="minorEastAsia"/>
          <w:sz w:val="30"/>
          <w:szCs w:val="30"/>
        </w:rPr>
      </w:pPr>
      <w:r>
        <w:rPr>
          <w:rFonts w:hint="default" w:ascii="Times New Roman" w:hAnsi="Times New Roman" w:cs="Times New Roman" w:eastAsiaTheme="minorEastAsia"/>
          <w:sz w:val="30"/>
          <w:szCs w:val="30"/>
        </w:rPr>
        <w:t>截至2022年12月31日，峨山彝族自治县职业高级中学资产总额49,363,544.02元，其中，流动资产764,619.88元，固定资产45,298,923.14元，对外投资及有价证券0.00元，在建工</w:t>
      </w:r>
      <w:r>
        <w:rPr>
          <w:rFonts w:hint="eastAsia" w:ascii="Times New Roman" w:hAnsi="Times New Roman" w:cs="Times New Roman" w:eastAsiaTheme="minorEastAsia"/>
          <w:sz w:val="30"/>
          <w:szCs w:val="30"/>
          <w:lang w:val="en-US" w:eastAsia="zh-CN"/>
        </w:rPr>
        <w:t>程</w:t>
      </w:r>
      <w:r>
        <w:rPr>
          <w:rFonts w:hint="default" w:ascii="Times New Roman" w:hAnsi="Times New Roman" w:cs="Times New Roman" w:eastAsiaTheme="minorEastAsia"/>
          <w:sz w:val="30"/>
          <w:szCs w:val="30"/>
        </w:rPr>
        <w:t>3,300,000</w:t>
      </w:r>
      <w:r>
        <w:rPr>
          <w:rFonts w:hint="eastAsia" w:ascii="Times New Roman" w:hAnsi="Times New Roman" w:cs="Times New Roman" w:eastAsiaTheme="minorEastAsia"/>
          <w:sz w:val="30"/>
          <w:szCs w:val="30"/>
          <w:lang w:val="en-US" w:eastAsia="zh-CN"/>
        </w:rPr>
        <w:t>.00</w:t>
      </w:r>
      <w:r>
        <w:rPr>
          <w:rFonts w:hint="default" w:ascii="Times New Roman" w:hAnsi="Times New Roman" w:cs="Times New Roman" w:eastAsiaTheme="minorEastAsia"/>
          <w:sz w:val="30"/>
          <w:szCs w:val="30"/>
        </w:rPr>
        <w:t>元，无形资产1.00元，其他资产0.00元</w:t>
      </w:r>
      <w:r>
        <w:rPr>
          <w:rFonts w:hint="eastAsia" w:ascii="Times New Roman" w:hAnsi="Times New Roman" w:cs="Times New Roman" w:eastAsiaTheme="minorEastAsia"/>
          <w:sz w:val="30"/>
          <w:szCs w:val="30"/>
          <w:lang w:eastAsia="zh-CN"/>
        </w:rPr>
        <w:t>（具体内容详见附表）</w:t>
      </w:r>
      <w:r>
        <w:rPr>
          <w:rFonts w:hint="default" w:ascii="Times New Roman" w:hAnsi="Times New Roman" w:cs="Times New Roman" w:eastAsiaTheme="minorEastAsia"/>
          <w:sz w:val="30"/>
          <w:szCs w:val="30"/>
        </w:rPr>
        <w:t>。与上年相比，本年资产总额增加7,304,644.02元，其中固定资产增3,239,989.14元。处置房屋建筑物1,157.18平方米，账面原值189,342.65元；处置车辆0辆，账面原值0</w:t>
      </w:r>
      <w:r>
        <w:rPr>
          <w:rFonts w:hint="eastAsia" w:ascii="Times New Roman" w:hAnsi="Times New Roman" w:cs="Times New Roman" w:eastAsiaTheme="minorEastAsia"/>
          <w:sz w:val="30"/>
          <w:szCs w:val="30"/>
          <w:lang w:val="en-US" w:eastAsia="zh-CN"/>
        </w:rPr>
        <w:t>.00</w:t>
      </w:r>
      <w:r>
        <w:rPr>
          <w:rFonts w:hint="default" w:ascii="Times New Roman" w:hAnsi="Times New Roman" w:cs="Times New Roman" w:eastAsiaTheme="minorEastAsia"/>
          <w:sz w:val="30"/>
          <w:szCs w:val="30"/>
        </w:rPr>
        <w:t>元；报废报损资产0项，账面原值0</w:t>
      </w:r>
      <w:r>
        <w:rPr>
          <w:rFonts w:hint="eastAsia" w:ascii="Times New Roman" w:hAnsi="Times New Roman" w:cs="Times New Roman" w:eastAsiaTheme="minorEastAsia"/>
          <w:sz w:val="30"/>
          <w:szCs w:val="30"/>
          <w:lang w:val="en-US" w:eastAsia="zh-CN"/>
        </w:rPr>
        <w:t>.00</w:t>
      </w:r>
      <w:r>
        <w:rPr>
          <w:rFonts w:hint="default" w:ascii="Times New Roman" w:hAnsi="Times New Roman" w:cs="Times New Roman" w:eastAsiaTheme="minorEastAsia"/>
          <w:sz w:val="30"/>
          <w:szCs w:val="30"/>
        </w:rPr>
        <w:t>元，实现资产处置收入0</w:t>
      </w:r>
      <w:r>
        <w:rPr>
          <w:rFonts w:hint="eastAsia" w:ascii="Times New Roman" w:hAnsi="Times New Roman" w:cs="Times New Roman" w:eastAsiaTheme="minorEastAsia"/>
          <w:sz w:val="30"/>
          <w:szCs w:val="30"/>
          <w:lang w:val="en-US" w:eastAsia="zh-CN"/>
        </w:rPr>
        <w:t>.00</w:t>
      </w:r>
      <w:r>
        <w:rPr>
          <w:rFonts w:hint="default" w:ascii="Times New Roman" w:hAnsi="Times New Roman" w:cs="Times New Roman" w:eastAsiaTheme="minorEastAsia"/>
          <w:sz w:val="30"/>
          <w:szCs w:val="30"/>
        </w:rPr>
        <w:t>元；出租房屋0平方米，账面原值0</w:t>
      </w:r>
      <w:r>
        <w:rPr>
          <w:rFonts w:hint="eastAsia" w:ascii="Times New Roman" w:hAnsi="Times New Roman" w:cs="Times New Roman" w:eastAsiaTheme="minorEastAsia"/>
          <w:sz w:val="30"/>
          <w:szCs w:val="30"/>
          <w:lang w:val="en-US" w:eastAsia="zh-CN"/>
        </w:rPr>
        <w:t>.00</w:t>
      </w:r>
      <w:r>
        <w:rPr>
          <w:rFonts w:hint="default" w:ascii="Times New Roman" w:hAnsi="Times New Roman" w:cs="Times New Roman" w:eastAsiaTheme="minorEastAsia"/>
          <w:sz w:val="30"/>
          <w:szCs w:val="30"/>
        </w:rPr>
        <w:t>元，实现资产使用收入0</w:t>
      </w:r>
      <w:r>
        <w:rPr>
          <w:rFonts w:hint="eastAsia" w:ascii="Times New Roman" w:hAnsi="Times New Roman" w:cs="Times New Roman" w:eastAsiaTheme="minorEastAsia"/>
          <w:sz w:val="30"/>
          <w:szCs w:val="30"/>
          <w:lang w:val="en-US" w:eastAsia="zh-CN"/>
        </w:rPr>
        <w:t>.00</w:t>
      </w:r>
      <w:r>
        <w:rPr>
          <w:rFonts w:hint="default" w:ascii="Times New Roman" w:hAnsi="Times New Roman" w:cs="Times New Roman" w:eastAsiaTheme="minorEastAsia"/>
          <w:sz w:val="30"/>
          <w:szCs w:val="30"/>
        </w:rPr>
        <w:t>元</w:t>
      </w:r>
      <w:r>
        <w:rPr>
          <w:rFonts w:hint="eastAsia" w:ascii="Times New Roman" w:hAnsi="Times New Roman" w:cs="Times New Roman" w:eastAsiaTheme="minorEastAsia"/>
          <w:sz w:val="30"/>
          <w:szCs w:val="30"/>
          <w:lang w:eastAsia="zh-CN"/>
        </w:rPr>
        <w:t>。（国有资产占有使用情况表详见附表）</w:t>
      </w:r>
    </w:p>
    <w:p>
      <w:pPr>
        <w:autoSpaceDE w:val="0"/>
        <w:autoSpaceDN w:val="0"/>
        <w:spacing w:line="580" w:lineRule="exact"/>
        <w:ind w:firstLine="600"/>
        <w:rPr>
          <w:rFonts w:hint="default" w:ascii="Times New Roman" w:hAnsi="Times New Roman" w:cs="Times New Roman" w:eastAsiaTheme="minorEastAsia"/>
          <w:sz w:val="30"/>
          <w:szCs w:val="30"/>
        </w:rPr>
      </w:pPr>
      <w:r>
        <w:rPr>
          <w:rFonts w:hint="default" w:ascii="Times New Roman" w:hAnsi="Times New Roman" w:cs="Times New Roman" w:eastAsiaTheme="minorEastAsia"/>
          <w:sz w:val="30"/>
          <w:szCs w:val="30"/>
        </w:rPr>
        <w:t>三、政府采购支出情况</w:t>
      </w:r>
    </w:p>
    <w:p>
      <w:pPr>
        <w:autoSpaceDE w:val="0"/>
        <w:autoSpaceDN w:val="0"/>
        <w:spacing w:line="580" w:lineRule="exact"/>
        <w:ind w:firstLine="600"/>
        <w:rPr>
          <w:rFonts w:hint="default" w:ascii="Times New Roman" w:hAnsi="Times New Roman" w:cs="Times New Roman" w:eastAsiaTheme="minorEastAsia"/>
          <w:sz w:val="30"/>
          <w:szCs w:val="30"/>
        </w:rPr>
      </w:pPr>
      <w:r>
        <w:rPr>
          <w:rFonts w:hint="default" w:ascii="Times New Roman" w:hAnsi="Times New Roman" w:cs="Times New Roman" w:eastAsiaTheme="minorEastAsia"/>
          <w:sz w:val="30"/>
          <w:szCs w:val="30"/>
        </w:rPr>
        <w:t>2022年度，部门政府采购支出总额0.00元，其中：政府采购货物支出0.00元；政府采购工程支出0.00元；政府采购服务支出0.00元。授予中小企业合同金额0.00元，占政府采购支出总额的0.00%。</w:t>
      </w:r>
    </w:p>
    <w:p>
      <w:pPr>
        <w:autoSpaceDE w:val="0"/>
        <w:autoSpaceDN w:val="0"/>
        <w:spacing w:line="580" w:lineRule="exact"/>
        <w:ind w:firstLine="600"/>
        <w:rPr>
          <w:rFonts w:hint="default" w:ascii="Times New Roman" w:hAnsi="Times New Roman" w:cs="Times New Roman" w:eastAsiaTheme="minorEastAsia"/>
          <w:sz w:val="30"/>
          <w:szCs w:val="30"/>
        </w:rPr>
      </w:pPr>
      <w:r>
        <w:rPr>
          <w:rFonts w:hint="default" w:ascii="Times New Roman" w:hAnsi="Times New Roman" w:cs="Times New Roman" w:eastAsiaTheme="minorEastAsia"/>
          <w:sz w:val="30"/>
          <w:szCs w:val="30"/>
        </w:rPr>
        <w:t>四、部门绩效自评情况</w:t>
      </w:r>
    </w:p>
    <w:p>
      <w:pPr>
        <w:autoSpaceDE w:val="0"/>
        <w:autoSpaceDN w:val="0"/>
        <w:spacing w:line="580" w:lineRule="exact"/>
        <w:ind w:firstLine="600"/>
        <w:rPr>
          <w:rFonts w:hint="default" w:ascii="Times New Roman" w:hAnsi="Times New Roman" w:cs="Times New Roman" w:eastAsiaTheme="minorEastAsia"/>
          <w:sz w:val="30"/>
          <w:szCs w:val="30"/>
        </w:rPr>
      </w:pPr>
      <w:r>
        <w:rPr>
          <w:rFonts w:hint="default" w:ascii="Times New Roman" w:hAnsi="Times New Roman" w:cs="Times New Roman" w:eastAsiaTheme="minorEastAsia"/>
          <w:sz w:val="30"/>
          <w:szCs w:val="30"/>
        </w:rPr>
        <w:t>部门绩效自评情况详见附表。</w:t>
      </w:r>
    </w:p>
    <w:p>
      <w:pPr>
        <w:numPr>
          <w:ilvl w:val="0"/>
          <w:numId w:val="1"/>
        </w:numPr>
        <w:autoSpaceDE w:val="0"/>
        <w:autoSpaceDN w:val="0"/>
        <w:spacing w:line="580" w:lineRule="exact"/>
        <w:ind w:firstLine="600"/>
        <w:rPr>
          <w:rFonts w:hint="default" w:ascii="Times New Roman" w:hAnsi="Times New Roman" w:cs="Times New Roman" w:eastAsiaTheme="minorEastAsia"/>
          <w:sz w:val="30"/>
          <w:szCs w:val="30"/>
        </w:rPr>
      </w:pPr>
      <w:r>
        <w:rPr>
          <w:rFonts w:hint="default" w:ascii="Times New Roman" w:hAnsi="Times New Roman" w:cs="Times New Roman" w:eastAsiaTheme="minorEastAsia"/>
          <w:sz w:val="30"/>
          <w:szCs w:val="30"/>
        </w:rPr>
        <w:t>其他重要事项情况说明</w:t>
      </w:r>
    </w:p>
    <w:p>
      <w:pPr>
        <w:numPr>
          <w:ilvl w:val="0"/>
          <w:numId w:val="0"/>
        </w:numPr>
        <w:autoSpaceDE w:val="0"/>
        <w:autoSpaceDN w:val="0"/>
        <w:spacing w:line="580" w:lineRule="exact"/>
        <w:ind w:firstLine="600" w:firstLineChars="200"/>
        <w:rPr>
          <w:rFonts w:hint="eastAsia" w:ascii="Times New Roman" w:hAnsi="Times New Roman" w:cs="Times New Roman" w:eastAsiaTheme="minorEastAsia"/>
          <w:sz w:val="30"/>
          <w:szCs w:val="30"/>
          <w:lang w:eastAsia="zh-CN"/>
        </w:rPr>
      </w:pPr>
      <w:r>
        <w:rPr>
          <w:rFonts w:hint="eastAsia" w:ascii="Times New Roman" w:hAnsi="Times New Roman" w:cs="Times New Roman" w:eastAsiaTheme="minorEastAsia"/>
          <w:sz w:val="30"/>
          <w:szCs w:val="30"/>
          <w:lang w:eastAsia="zh-CN"/>
        </w:rPr>
        <w:t>无其他重要事项情况说明。</w:t>
      </w:r>
    </w:p>
    <w:p>
      <w:pPr>
        <w:autoSpaceDE w:val="0"/>
        <w:autoSpaceDN w:val="0"/>
        <w:spacing w:line="580" w:lineRule="exact"/>
        <w:ind w:firstLine="600"/>
        <w:rPr>
          <w:rFonts w:hint="default" w:ascii="Times New Roman" w:hAnsi="Times New Roman" w:cs="Times New Roman" w:eastAsiaTheme="minorEastAsia"/>
          <w:sz w:val="30"/>
          <w:szCs w:val="30"/>
        </w:rPr>
      </w:pPr>
      <w:r>
        <w:rPr>
          <w:rFonts w:hint="default" w:ascii="Times New Roman" w:hAnsi="Times New Roman" w:cs="Times New Roman" w:eastAsiaTheme="minorEastAsia"/>
          <w:sz w:val="30"/>
          <w:szCs w:val="30"/>
        </w:rPr>
        <w:t>六、相关口径说明</w:t>
      </w:r>
    </w:p>
    <w:p>
      <w:pPr>
        <w:autoSpaceDE w:val="0"/>
        <w:autoSpaceDN w:val="0"/>
        <w:spacing w:line="580" w:lineRule="exact"/>
        <w:ind w:firstLine="600"/>
        <w:rPr>
          <w:rFonts w:hint="default" w:ascii="Times New Roman" w:hAnsi="Times New Roman" w:cs="Times New Roman" w:eastAsiaTheme="minorEastAsia"/>
          <w:sz w:val="30"/>
          <w:szCs w:val="30"/>
        </w:rPr>
      </w:pPr>
      <w:r>
        <w:rPr>
          <w:rFonts w:hint="default" w:ascii="Times New Roman" w:hAnsi="Times New Roman" w:cs="Times New Roman" w:eastAsiaTheme="minorEastAsia"/>
          <w:sz w:val="30"/>
          <w:szCs w:val="30"/>
        </w:rPr>
        <w:t>（一）基本支出中人员经费包括工资福利支出和对个人和家庭的补助，公用经费包括商品和服务支出、资本性支出等人员经费以外的支出。</w:t>
      </w:r>
    </w:p>
    <w:p>
      <w:pPr>
        <w:autoSpaceDE w:val="0"/>
        <w:autoSpaceDN w:val="0"/>
        <w:spacing w:line="580" w:lineRule="exact"/>
        <w:ind w:firstLine="600"/>
        <w:rPr>
          <w:rFonts w:hint="default" w:ascii="Times New Roman" w:hAnsi="Times New Roman" w:cs="Times New Roman" w:eastAsiaTheme="minorEastAsia"/>
          <w:sz w:val="30"/>
          <w:szCs w:val="30"/>
        </w:rPr>
      </w:pPr>
      <w:r>
        <w:rPr>
          <w:rFonts w:hint="default" w:ascii="Times New Roman" w:hAnsi="Times New Roman" w:cs="Times New Roman" w:eastAsiaTheme="minorEastAsia"/>
          <w:sz w:val="30"/>
          <w:szCs w:val="30"/>
        </w:rPr>
        <w:t>（二）机关运行经费指行政单位和参照公务员法管理的事业单位使用财政拨款安排的基本支出中的公用经费支出。</w:t>
      </w:r>
    </w:p>
    <w:p>
      <w:pPr>
        <w:autoSpaceDE w:val="0"/>
        <w:autoSpaceDN w:val="0"/>
        <w:spacing w:line="580" w:lineRule="exact"/>
        <w:ind w:firstLine="600"/>
        <w:rPr>
          <w:rFonts w:hint="default" w:ascii="Times New Roman" w:hAnsi="Times New Roman" w:cs="Times New Roman" w:eastAsiaTheme="minorEastAsia"/>
          <w:sz w:val="30"/>
          <w:szCs w:val="30"/>
        </w:rPr>
      </w:pPr>
      <w:r>
        <w:rPr>
          <w:rFonts w:hint="default" w:ascii="Times New Roman" w:hAnsi="Times New Roman" w:cs="Times New Roman" w:eastAsiaTheme="minorEastAsia"/>
          <w:sz w:val="30"/>
          <w:szCs w:val="30"/>
        </w:rPr>
        <w:t>（三）按照党中央、国务院有关文件及部门预算管理有关规定，“三公”经费包括因公出国（境）费、公务用车购置及运行维护费、公务接待费。其中：因公出国（境）费，指单位公务出国（境）的国际旅费、国外城市间交通费、住宿费、伙食费、培训费、公杂费等支出；公务用车购置费，指公务用车购置支出（含车辆购置税、牌照费）；公务用车运行维护费，指单位按规定保留的公务用车燃料费、维修费、过桥过路费、保险费、安全奖励费用等支出；公务用车指用于履行公务的机动车辆，包括省部级干部专车、一般公务用车和执法执勤用车；公务接待费，指单位按规定开支的各类公务接待（含外宾接待）费用。</w:t>
      </w:r>
    </w:p>
    <w:p>
      <w:pPr>
        <w:autoSpaceDE w:val="0"/>
        <w:autoSpaceDN w:val="0"/>
        <w:spacing w:line="580" w:lineRule="exact"/>
        <w:ind w:firstLine="600"/>
        <w:rPr>
          <w:rFonts w:hint="default" w:ascii="Times New Roman" w:hAnsi="Times New Roman" w:cs="Times New Roman" w:eastAsiaTheme="minorEastAsia"/>
          <w:sz w:val="30"/>
          <w:szCs w:val="30"/>
        </w:rPr>
      </w:pPr>
      <w:r>
        <w:rPr>
          <w:rFonts w:hint="default" w:ascii="Times New Roman" w:hAnsi="Times New Roman" w:cs="Times New Roman" w:eastAsiaTheme="minorEastAsia"/>
          <w:sz w:val="30"/>
          <w:szCs w:val="30"/>
        </w:rPr>
        <w:t>（四）“三公”经费决算数是指各部门（含下属单位）当年通过本级一般公共预算财政拨款和以前年度一般公共预算财政拨款结转结余资金安排的因公出国（境）费、公务用车购置及运行维护费和公务接待费支出数（包括基本支出和项目支出）。</w:t>
      </w:r>
    </w:p>
    <w:p>
      <w:pPr>
        <w:autoSpaceDE w:val="0"/>
        <w:autoSpaceDN w:val="0"/>
        <w:spacing w:line="580" w:lineRule="exact"/>
        <w:jc w:val="center"/>
        <w:rPr>
          <w:rFonts w:hint="default" w:ascii="Times New Roman" w:hAnsi="Times New Roman" w:cs="Times New Roman" w:eastAsiaTheme="minorEastAsia"/>
          <w:sz w:val="30"/>
          <w:szCs w:val="30"/>
        </w:rPr>
      </w:pPr>
      <w:r>
        <w:rPr>
          <w:rFonts w:hint="default" w:ascii="Times New Roman" w:hAnsi="Times New Roman" w:cs="Times New Roman" w:eastAsiaTheme="minorEastAsia"/>
          <w:sz w:val="30"/>
          <w:szCs w:val="30"/>
        </w:rPr>
        <w:t>第五部分 名词解释</w:t>
      </w:r>
    </w:p>
    <w:p>
      <w:pPr>
        <w:autoSpaceDE w:val="0"/>
        <w:autoSpaceDN w:val="0"/>
        <w:spacing w:line="580" w:lineRule="exact"/>
        <w:ind w:firstLine="600"/>
        <w:rPr>
          <w:rFonts w:hint="eastAsia" w:ascii="Times New Roman" w:hAnsi="Times New Roman" w:cs="Times New Roman" w:eastAsiaTheme="minorEastAsia"/>
          <w:sz w:val="30"/>
          <w:szCs w:val="30"/>
          <w:lang w:eastAsia="zh-CN"/>
        </w:rPr>
      </w:pPr>
      <w:r>
        <w:rPr>
          <w:rFonts w:hint="default" w:ascii="Times New Roman" w:hAnsi="Times New Roman" w:cs="Times New Roman" w:eastAsiaTheme="minorEastAsia"/>
          <w:sz w:val="30"/>
          <w:szCs w:val="30"/>
        </w:rPr>
        <w:t>部门决算：各部门依据国家有关法律法规规定及其履行职能情况编制，反映部门预算收支和结余执行结果及绩效等情况的综合性年度报告，是改进部门预算执行以及编制后续年度部门预算的参考和依据</w:t>
      </w:r>
      <w:r>
        <w:rPr>
          <w:rFonts w:hint="eastAsia" w:ascii="Times New Roman" w:hAnsi="Times New Roman" w:cs="Times New Roman" w:eastAsiaTheme="minorEastAsia"/>
          <w:sz w:val="30"/>
          <w:szCs w:val="30"/>
          <w:lang w:eastAsia="zh-CN"/>
        </w:rPr>
        <w:t>。</w:t>
      </w:r>
    </w:p>
    <w:p>
      <w:pPr>
        <w:autoSpaceDE w:val="0"/>
        <w:autoSpaceDN w:val="0"/>
        <w:spacing w:line="580" w:lineRule="exact"/>
        <w:ind w:firstLine="600"/>
        <w:rPr>
          <w:rFonts w:hint="default" w:ascii="Times New Roman" w:hAnsi="Times New Roman" w:cs="Times New Roman" w:eastAsiaTheme="minorEastAsia"/>
          <w:sz w:val="30"/>
          <w:szCs w:val="30"/>
        </w:rPr>
      </w:pPr>
      <w:r>
        <w:rPr>
          <w:rFonts w:hint="default" w:ascii="Times New Roman" w:hAnsi="Times New Roman" w:cs="Times New Roman" w:eastAsiaTheme="minorEastAsia"/>
          <w:sz w:val="30"/>
          <w:szCs w:val="30"/>
        </w:rPr>
        <w:t> </w:t>
      </w:r>
    </w:p>
    <w:p>
      <w:pPr>
        <w:rPr>
          <w:rFonts w:hint="default" w:ascii="Times New Roman" w:hAnsi="Times New Roman" w:eastAsia="Arial" w:cs="Times New Roman"/>
          <w:b/>
          <w:sz w:val="36"/>
        </w:rPr>
      </w:pPr>
      <w:r>
        <w:rPr>
          <w:rFonts w:hint="default" w:ascii="Times New Roman" w:hAnsi="Times New Roman" w:eastAsia="Arial" w:cs="Times New Roman"/>
          <w:b/>
          <w:sz w:val="36"/>
        </w:rPr>
        <w:t>监督索引号53042600136002101111</w:t>
      </w:r>
    </w:p>
    <w:sectPr>
      <w:pgSz w:w="11907"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方正仿宋">
    <w:altName w:val="仿宋"/>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宋体">
    <w:panose1 w:val="02010600030101010101"/>
    <w:charset w:val="86"/>
    <w:family w:val="auto"/>
    <w:pitch w:val="variable"/>
    <w:sig w:usb0="00000003" w:usb1="288F0000" w:usb2="00000006" w:usb3="00000000" w:csb0="00040001" w:csb1="00000000"/>
  </w:font>
  <w:font w:name="Cambria Math">
    <w:panose1 w:val="02040503050406030204"/>
    <w:charset w:val="01"/>
    <w:family w:val="auto"/>
    <w:pitch w:val="variable"/>
    <w:sig w:usb0="E00006FF" w:usb1="420024FF" w:usb2="02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972951C"/>
    <w:multiLevelType w:val="singleLevel"/>
    <w:tmpl w:val="6972951C"/>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isplayHorizontalDrawingGridEvery w:val="0"/>
  <w:displayVerticalDrawingGridEvery w:val="2"/>
  <w:characterSpacingControl w:val="doNotCompress"/>
  <w:compat>
    <w:balanceSingleByteDoubleByteWidth/>
    <w:doNotExpandShiftReturn/>
    <w:adjustLineHeightInTable/>
    <w:doNotSnapToGridInCell/>
    <w:useFELayout/>
    <w:doNotUseIndentAsNumberingTabStop/>
    <w:compatSetting w:name="compatibilityMode" w:uri="http://schemas.microsoft.com/office/word" w:val="12"/>
  </w:compat>
  <w:docVars>
    <w:docVar w:name="commondata" w:val="eyJoZGlkIjoiY2MwZTA5ZWEzMGMzOTA5MDQ1NTNlOTU0MjM1OTE3MzUifQ=="/>
  </w:docVars>
  <w:rsids>
    <w:rsidRoot w:val="004703B4"/>
    <w:rsid w:val="003B3FB2"/>
    <w:rsid w:val="004703B4"/>
    <w:rsid w:val="00A03E2E"/>
    <w:rsid w:val="00C03C69"/>
    <w:rsid w:val="00FA32C6"/>
    <w:rsid w:val="077C1E25"/>
    <w:rsid w:val="0C472B9B"/>
    <w:rsid w:val="1ACF58EE"/>
    <w:rsid w:val="1C1F2E8A"/>
    <w:rsid w:val="1CE751A0"/>
    <w:rsid w:val="270C275B"/>
    <w:rsid w:val="2FE671C8"/>
    <w:rsid w:val="31433890"/>
    <w:rsid w:val="346436CA"/>
    <w:rsid w:val="3891152F"/>
    <w:rsid w:val="44342F4F"/>
    <w:rsid w:val="44F823AD"/>
    <w:rsid w:val="452024FA"/>
    <w:rsid w:val="47EA3F9B"/>
    <w:rsid w:val="4B85245D"/>
    <w:rsid w:val="55CB2AF3"/>
    <w:rsid w:val="56007388"/>
    <w:rsid w:val="607773BE"/>
    <w:rsid w:val="713C17B7"/>
    <w:rsid w:val="7A394FCA"/>
    <w:rsid w:val="7BE33F8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Calibri" w:hAnsi="Calibri" w:cs="Times New Roman"/>
      <w:kern w:val="2"/>
      <w:sz w:val="21"/>
      <w:szCs w:val="22"/>
    </w:rPr>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rFonts w:ascii="宋体" w:hAnsi="宋体" w:eastAsia="宋体" w:cs="宋体"/>
      <w:sz w:val="18"/>
      <w:szCs w:val="18"/>
    </w:rPr>
  </w:style>
  <w:style w:type="character" w:customStyle="1" w:styleId="7">
    <w:name w:val="页脚 Char"/>
    <w:basedOn w:val="5"/>
    <w:link w:val="2"/>
    <w:semiHidden/>
    <w:qFormat/>
    <w:uiPriority w:val="99"/>
    <w:rPr>
      <w:rFonts w:ascii="宋体" w:hAnsi="宋体" w:eastAsia="宋体" w:cs="宋体"/>
      <w:sz w:val="18"/>
      <w:szCs w:val="18"/>
    </w:rPr>
  </w:style>
  <w:style w:type="paragraph" w:customStyle="1" w:styleId="8">
    <w:name w:val="p_MsoNormal"/>
    <w:basedOn w:val="1"/>
    <w:uiPriority w:val="0"/>
    <w:rPr>
      <w:rFonts w:ascii="宋体" w:hAnsi="宋体" w:eastAsia="宋体" w:cs="宋体"/>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12</Pages>
  <Words>879</Words>
  <Characters>5011</Characters>
  <Lines>41</Lines>
  <Paragraphs>11</Paragraphs>
  <TotalTime>7</TotalTime>
  <ScaleCrop>false</ScaleCrop>
  <LinksUpToDate>false</LinksUpToDate>
  <CharactersWithSpaces>5879</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2023-09-15T04:48:00Z</dcterms:created>
  <dc:creator>WYL</dc:creator>
  <cp:lastModifiedBy>Administrator</cp:lastModifiedBy>
  <dcterms:modified xsi:type="dcterms:W3CDTF">2023-10-21T07:59:55Z</dcterms:modified>
  <dc:title>DWZDM</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2FB658CDECE6454BB05966FEF4EA062C</vt:lpwstr>
  </property>
</Properties>
</file>