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90" w:lineRule="exact"/>
        <w:jc w:val="center"/>
        <w:textAlignment w:val="auto"/>
        <w:rPr>
          <w:rFonts w:eastAsia="方正小标宋_GBK"/>
          <w:color w:val="auto"/>
          <w:sz w:val="44"/>
          <w:szCs w:val="44"/>
        </w:rPr>
      </w:pPr>
      <w:r>
        <w:rPr>
          <w:rFonts w:eastAsia="方正小标宋_GBK"/>
          <w:color w:val="auto"/>
          <w:sz w:val="44"/>
          <w:szCs w:val="44"/>
        </w:rPr>
        <w:t>澄江</w:t>
      </w:r>
      <w:r>
        <w:rPr>
          <w:rFonts w:hint="eastAsia" w:eastAsia="方正小标宋_GBK"/>
          <w:color w:val="auto"/>
          <w:sz w:val="44"/>
          <w:szCs w:val="44"/>
        </w:rPr>
        <w:t>市</w:t>
      </w:r>
      <w:r>
        <w:rPr>
          <w:rFonts w:eastAsia="方正小标宋_GBK"/>
          <w:color w:val="auto"/>
          <w:sz w:val="44"/>
          <w:szCs w:val="44"/>
        </w:rPr>
        <w:t>20</w:t>
      </w:r>
      <w:r>
        <w:rPr>
          <w:rFonts w:hint="eastAsia" w:eastAsia="方正小标宋_GBK"/>
          <w:color w:val="auto"/>
          <w:sz w:val="44"/>
          <w:szCs w:val="44"/>
        </w:rPr>
        <w:t>2</w:t>
      </w:r>
      <w:r>
        <w:rPr>
          <w:rFonts w:hint="eastAsia" w:eastAsia="方正小标宋_GBK"/>
          <w:color w:val="auto"/>
          <w:sz w:val="44"/>
          <w:szCs w:val="44"/>
          <w:lang w:val="en-US" w:eastAsia="zh-CN"/>
        </w:rPr>
        <w:t>4</w:t>
      </w:r>
      <w:r>
        <w:rPr>
          <w:rFonts w:eastAsia="方正小标宋_GBK"/>
          <w:color w:val="auto"/>
          <w:sz w:val="44"/>
          <w:szCs w:val="44"/>
        </w:rPr>
        <w:t>年</w:t>
      </w:r>
      <w:r>
        <w:rPr>
          <w:rFonts w:hint="eastAsia" w:eastAsia="方正小标宋_GBK"/>
          <w:color w:val="auto"/>
          <w:sz w:val="44"/>
          <w:szCs w:val="44"/>
          <w:lang w:val="en-US" w:eastAsia="zh-CN"/>
        </w:rPr>
        <w:t>政府</w:t>
      </w:r>
      <w:r>
        <w:rPr>
          <w:rFonts w:eastAsia="方正小标宋_GBK"/>
          <w:color w:val="auto"/>
          <w:sz w:val="44"/>
          <w:szCs w:val="44"/>
        </w:rPr>
        <w:t>预算公开说明</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90" w:lineRule="exact"/>
        <w:textAlignment w:val="auto"/>
      </w:pP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eastAsia="方正黑体_GBK"/>
          <w:color w:val="auto"/>
          <w:sz w:val="32"/>
          <w:szCs w:val="32"/>
        </w:rPr>
      </w:pPr>
      <w:r>
        <w:rPr>
          <w:rFonts w:hint="eastAsia" w:ascii="黑体" w:hAnsi="黑体" w:eastAsia="黑体" w:cs="黑体"/>
          <w:color w:val="auto"/>
          <w:sz w:val="32"/>
          <w:szCs w:val="32"/>
        </w:rPr>
        <w:t>一、基本的情况</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eastAsia="方正楷体_GBK"/>
          <w:color w:val="auto"/>
          <w:sz w:val="32"/>
          <w:szCs w:val="32"/>
        </w:rPr>
      </w:pPr>
      <w:r>
        <w:rPr>
          <w:rFonts w:hint="eastAsia" w:ascii="楷体" w:hAnsi="楷体" w:eastAsia="楷体" w:cs="楷体"/>
          <w:color w:val="auto"/>
          <w:sz w:val="32"/>
          <w:szCs w:val="32"/>
        </w:rPr>
        <w:t>（一）人员构成情况</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eastAsia="方正仿宋_GBK"/>
          <w:color w:val="auto"/>
          <w:sz w:val="32"/>
          <w:szCs w:val="32"/>
        </w:rPr>
      </w:pP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23</w:t>
      </w:r>
      <w:r>
        <w:rPr>
          <w:rFonts w:hint="eastAsia" w:ascii="仿宋" w:hAnsi="仿宋" w:eastAsia="仿宋" w:cs="仿宋"/>
          <w:color w:val="auto"/>
          <w:sz w:val="32"/>
          <w:szCs w:val="32"/>
        </w:rPr>
        <w:t>年末，澄江</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财政供养人员</w:t>
      </w:r>
      <w:r>
        <w:rPr>
          <w:rFonts w:hint="eastAsia" w:ascii="仿宋" w:hAnsi="仿宋" w:eastAsia="仿宋" w:cs="仿宋"/>
          <w:color w:val="auto"/>
          <w:sz w:val="32"/>
          <w:szCs w:val="32"/>
          <w:lang w:val="en-US" w:eastAsia="zh-CN"/>
        </w:rPr>
        <w:t>7,185</w:t>
      </w:r>
      <w:r>
        <w:rPr>
          <w:rFonts w:hint="eastAsia" w:ascii="仿宋" w:hAnsi="仿宋" w:eastAsia="仿宋" w:cs="仿宋"/>
          <w:color w:val="auto"/>
          <w:sz w:val="32"/>
          <w:szCs w:val="32"/>
        </w:rPr>
        <w:t>人，其中：在职</w:t>
      </w:r>
      <w:r>
        <w:rPr>
          <w:rFonts w:hint="eastAsia" w:ascii="仿宋" w:hAnsi="仿宋" w:eastAsia="仿宋" w:cs="仿宋"/>
          <w:color w:val="auto"/>
          <w:sz w:val="32"/>
          <w:szCs w:val="32"/>
          <w:lang w:val="en-US" w:eastAsia="zh-CN"/>
        </w:rPr>
        <w:t>4,702</w:t>
      </w:r>
      <w:r>
        <w:rPr>
          <w:rFonts w:hint="eastAsia" w:ascii="仿宋" w:hAnsi="仿宋" w:eastAsia="仿宋" w:cs="仿宋"/>
          <w:color w:val="auto"/>
          <w:sz w:val="32"/>
          <w:szCs w:val="32"/>
        </w:rPr>
        <w:t>人，退休</w:t>
      </w:r>
      <w:r>
        <w:rPr>
          <w:rFonts w:hint="eastAsia" w:ascii="仿宋" w:hAnsi="仿宋" w:eastAsia="仿宋" w:cs="仿宋"/>
          <w:color w:val="auto"/>
          <w:sz w:val="32"/>
          <w:szCs w:val="32"/>
          <w:lang w:val="en-US" w:eastAsia="zh-CN"/>
        </w:rPr>
        <w:t>2,476</w:t>
      </w:r>
      <w:r>
        <w:rPr>
          <w:rFonts w:hint="eastAsia" w:ascii="仿宋" w:hAnsi="仿宋" w:eastAsia="仿宋" w:cs="仿宋"/>
          <w:color w:val="auto"/>
          <w:sz w:val="32"/>
          <w:szCs w:val="32"/>
        </w:rPr>
        <w:t>人，离休</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人。</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（二）公务用车配备情况</w:t>
      </w:r>
    </w:p>
    <w:p>
      <w:pPr>
        <w:keepNext w:val="0"/>
        <w:keepLines w:val="0"/>
        <w:pageBreakBefore w:val="0"/>
        <w:widowControl w:val="0"/>
        <w:kinsoku/>
        <w:overflowPunct/>
        <w:topLinePunct w:val="0"/>
        <w:autoSpaceDN/>
        <w:bidi w:val="0"/>
        <w:spacing w:line="590" w:lineRule="exact"/>
        <w:ind w:left="0" w:right="0" w:rightChars="0" w:firstLine="640" w:firstLineChars="200"/>
        <w:textAlignment w:val="auto"/>
        <w:rPr>
          <w:rFonts w:eastAsia="方正仿宋_GBK"/>
          <w:color w:val="auto"/>
          <w:sz w:val="32"/>
          <w:szCs w:val="32"/>
        </w:rPr>
      </w:pPr>
      <w:r>
        <w:rPr>
          <w:rFonts w:hint="eastAsia" w:ascii="仿宋" w:hAnsi="仿宋" w:eastAsia="仿宋" w:cs="仿宋"/>
          <w:color w:val="auto"/>
          <w:sz w:val="32"/>
          <w:szCs w:val="32"/>
        </w:rPr>
        <w:t>全</w:t>
      </w:r>
      <w:r>
        <w:rPr>
          <w:rFonts w:hint="eastAsia" w:ascii="仿宋" w:hAnsi="仿宋" w:eastAsia="仿宋" w:cs="仿宋"/>
          <w:color w:val="auto"/>
          <w:sz w:val="32"/>
          <w:szCs w:val="32"/>
          <w:lang w:val="en-US" w:eastAsia="zh-CN"/>
        </w:rPr>
        <w:t>市</w:t>
      </w:r>
      <w:r>
        <w:rPr>
          <w:rFonts w:hint="eastAsia" w:ascii="仿宋" w:hAnsi="仿宋" w:eastAsia="仿宋" w:cs="仿宋"/>
          <w:color w:val="auto"/>
          <w:sz w:val="32"/>
          <w:szCs w:val="32"/>
        </w:rPr>
        <w:t>财政供养公务用车3</w:t>
      </w: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辆，其中：一般公务用车2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执法执勤用车15辆。（不含机关事务管理局保留车辆）</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w:t>
      </w:r>
      <w:r>
        <w:rPr>
          <w:rFonts w:hint="default" w:ascii="Times New Roman" w:hAnsi="Times New Roman" w:eastAsia="黑体" w:cs="Times New Roman"/>
          <w:color w:val="auto"/>
          <w:sz w:val="32"/>
          <w:szCs w:val="32"/>
        </w:rPr>
        <w:t>20</w:t>
      </w:r>
      <w:r>
        <w:rPr>
          <w:rFonts w:hint="default" w:ascii="Times New Roman" w:hAnsi="Times New Roman" w:eastAsia="黑体" w:cs="Times New Roman"/>
          <w:color w:val="auto"/>
          <w:sz w:val="32"/>
          <w:szCs w:val="32"/>
          <w:lang w:val="en-US" w:eastAsia="zh-CN"/>
        </w:rPr>
        <w:t>23</w:t>
      </w:r>
      <w:r>
        <w:rPr>
          <w:rFonts w:hint="eastAsia" w:ascii="黑体" w:hAnsi="黑体" w:eastAsia="黑体" w:cs="黑体"/>
          <w:color w:val="auto"/>
          <w:sz w:val="32"/>
          <w:szCs w:val="32"/>
        </w:rPr>
        <w:t>年财政收支完成情况</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（一）一般公共预算执行情况</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仿宋" w:hAnsi="仿宋" w:eastAsia="仿宋" w:cs="仿宋"/>
          <w:color w:val="auto"/>
          <w:sz w:val="32"/>
          <w:szCs w:val="32"/>
        </w:rPr>
      </w:pPr>
      <w:r>
        <w:rPr>
          <w:rFonts w:hint="default" w:ascii="仿宋" w:hAnsi="仿宋" w:eastAsia="仿宋" w:cs="仿宋"/>
          <w:color w:val="auto"/>
          <w:sz w:val="32"/>
          <w:szCs w:val="32"/>
        </w:rPr>
        <w:t>一般公共预算收入完成</w:t>
      </w:r>
      <w:r>
        <w:rPr>
          <w:rFonts w:hint="eastAsia" w:ascii="仿宋" w:hAnsi="仿宋" w:eastAsia="仿宋" w:cs="仿宋"/>
          <w:color w:val="auto"/>
          <w:sz w:val="32"/>
          <w:szCs w:val="32"/>
          <w:lang w:val="en-US" w:eastAsia="zh-CN"/>
        </w:rPr>
        <w:t>58,161.00</w:t>
      </w:r>
      <w:r>
        <w:rPr>
          <w:rFonts w:hint="default" w:ascii="仿宋" w:hAnsi="仿宋" w:eastAsia="仿宋" w:cs="仿宋"/>
          <w:color w:val="auto"/>
          <w:sz w:val="32"/>
          <w:szCs w:val="32"/>
        </w:rPr>
        <w:t>万元，比上年</w:t>
      </w:r>
      <w:r>
        <w:rPr>
          <w:rFonts w:hint="eastAsia" w:ascii="仿宋" w:hAnsi="仿宋" w:eastAsia="仿宋" w:cs="仿宋"/>
          <w:color w:val="auto"/>
          <w:sz w:val="32"/>
          <w:szCs w:val="32"/>
          <w:lang w:val="en-US" w:eastAsia="zh-CN"/>
        </w:rPr>
        <w:t>52,581.00</w:t>
      </w:r>
      <w:r>
        <w:rPr>
          <w:rFonts w:hint="default" w:ascii="仿宋" w:hAnsi="仿宋" w:eastAsia="仿宋" w:cs="仿宋"/>
          <w:color w:val="auto"/>
          <w:sz w:val="32"/>
          <w:szCs w:val="32"/>
        </w:rPr>
        <w:t>万元</w:t>
      </w:r>
      <w:r>
        <w:rPr>
          <w:rFonts w:hint="eastAsia" w:ascii="仿宋" w:hAnsi="仿宋" w:eastAsia="仿宋" w:cs="仿宋"/>
          <w:color w:val="auto"/>
          <w:sz w:val="32"/>
          <w:szCs w:val="32"/>
          <w:lang w:val="en-US" w:eastAsia="zh-CN"/>
        </w:rPr>
        <w:t>增加5,580.00</w:t>
      </w:r>
      <w:r>
        <w:rPr>
          <w:rFonts w:hint="default" w:ascii="仿宋" w:hAnsi="仿宋" w:eastAsia="仿宋" w:cs="仿宋"/>
          <w:color w:val="auto"/>
          <w:sz w:val="32"/>
          <w:szCs w:val="32"/>
        </w:rPr>
        <w:t>万元，</w:t>
      </w:r>
      <w:r>
        <w:rPr>
          <w:rFonts w:hint="eastAsia" w:ascii="仿宋" w:hAnsi="仿宋" w:eastAsia="仿宋" w:cs="仿宋"/>
          <w:color w:val="auto"/>
          <w:sz w:val="32"/>
          <w:szCs w:val="32"/>
          <w:lang w:val="en-US" w:eastAsia="zh-CN"/>
        </w:rPr>
        <w:t>增长10.61</w:t>
      </w:r>
      <w:r>
        <w:rPr>
          <w:rFonts w:hint="default" w:ascii="仿宋" w:hAnsi="仿宋" w:eastAsia="仿宋" w:cs="仿宋"/>
          <w:color w:val="auto"/>
          <w:sz w:val="32"/>
          <w:szCs w:val="32"/>
        </w:rPr>
        <w:t>%，完成年初预算数</w:t>
      </w:r>
      <w:r>
        <w:rPr>
          <w:rFonts w:hint="eastAsia" w:ascii="仿宋" w:hAnsi="仿宋" w:eastAsia="仿宋" w:cs="仿宋"/>
          <w:color w:val="auto"/>
          <w:sz w:val="32"/>
          <w:szCs w:val="32"/>
          <w:lang w:val="en-US" w:eastAsia="zh-CN"/>
        </w:rPr>
        <w:t>89,990.00</w:t>
      </w:r>
      <w:r>
        <w:rPr>
          <w:rFonts w:hint="default" w:ascii="仿宋" w:hAnsi="仿宋" w:eastAsia="仿宋" w:cs="仿宋"/>
          <w:color w:val="auto"/>
          <w:sz w:val="32"/>
          <w:szCs w:val="32"/>
        </w:rPr>
        <w:t>万元的</w:t>
      </w:r>
      <w:r>
        <w:rPr>
          <w:rFonts w:hint="eastAsia" w:ascii="仿宋" w:hAnsi="仿宋" w:eastAsia="仿宋" w:cs="仿宋"/>
          <w:color w:val="auto"/>
          <w:sz w:val="32"/>
          <w:szCs w:val="32"/>
          <w:lang w:val="en-US" w:eastAsia="zh-CN"/>
        </w:rPr>
        <w:t>64.63</w:t>
      </w:r>
      <w:r>
        <w:rPr>
          <w:rFonts w:hint="default" w:ascii="仿宋" w:hAnsi="仿宋" w:eastAsia="仿宋" w:cs="仿宋"/>
          <w:color w:val="auto"/>
          <w:sz w:val="32"/>
          <w:szCs w:val="32"/>
        </w:rPr>
        <w:t>%</w:t>
      </w:r>
      <w:r>
        <w:rPr>
          <w:rFonts w:hint="eastAsia" w:ascii="仿宋" w:hAnsi="仿宋" w:eastAsia="仿宋" w:cs="仿宋"/>
          <w:color w:val="auto"/>
          <w:sz w:val="32"/>
          <w:szCs w:val="32"/>
          <w:lang w:eastAsia="zh-CN"/>
        </w:rPr>
        <w:t>，完成预算调整数</w:t>
      </w:r>
      <w:r>
        <w:rPr>
          <w:rFonts w:hint="eastAsia" w:ascii="仿宋" w:hAnsi="仿宋" w:eastAsia="仿宋" w:cs="仿宋"/>
          <w:color w:val="auto"/>
          <w:sz w:val="32"/>
          <w:szCs w:val="32"/>
          <w:lang w:val="en-US" w:eastAsia="zh-CN"/>
        </w:rPr>
        <w:t>71,515.00万元的81.33%</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一般公共预算支出完成</w:t>
      </w:r>
      <w:r>
        <w:rPr>
          <w:rFonts w:hint="eastAsia" w:ascii="仿宋" w:hAnsi="仿宋" w:eastAsia="仿宋" w:cs="仿宋"/>
          <w:color w:val="auto"/>
          <w:sz w:val="32"/>
          <w:szCs w:val="32"/>
          <w:lang w:val="en-US" w:eastAsia="zh-CN"/>
        </w:rPr>
        <w:t>212,395.00万</w:t>
      </w:r>
      <w:r>
        <w:rPr>
          <w:rFonts w:hint="eastAsia" w:ascii="仿宋" w:hAnsi="仿宋" w:eastAsia="仿宋" w:cs="仿宋"/>
          <w:color w:val="auto"/>
          <w:sz w:val="32"/>
          <w:szCs w:val="32"/>
        </w:rPr>
        <w:t>元，</w:t>
      </w:r>
      <w:r>
        <w:rPr>
          <w:rFonts w:hint="default" w:ascii="仿宋" w:hAnsi="仿宋" w:eastAsia="仿宋" w:cs="仿宋"/>
          <w:color w:val="auto"/>
          <w:sz w:val="32"/>
          <w:szCs w:val="32"/>
        </w:rPr>
        <w:t>比上年</w:t>
      </w:r>
      <w:r>
        <w:rPr>
          <w:rFonts w:hint="eastAsia" w:ascii="仿宋" w:hAnsi="仿宋" w:eastAsia="仿宋" w:cs="仿宋"/>
          <w:color w:val="auto"/>
          <w:sz w:val="32"/>
          <w:szCs w:val="32"/>
          <w:lang w:val="en-US" w:eastAsia="zh-CN"/>
        </w:rPr>
        <w:t>220,098.00</w:t>
      </w:r>
      <w:r>
        <w:rPr>
          <w:rFonts w:hint="default" w:ascii="仿宋" w:hAnsi="仿宋" w:eastAsia="仿宋" w:cs="仿宋"/>
          <w:color w:val="auto"/>
          <w:sz w:val="32"/>
          <w:szCs w:val="32"/>
        </w:rPr>
        <w:t>万元，减</w:t>
      </w:r>
      <w:r>
        <w:rPr>
          <w:rFonts w:hint="eastAsia" w:ascii="仿宋" w:hAnsi="仿宋" w:eastAsia="仿宋" w:cs="仿宋"/>
          <w:color w:val="auto"/>
          <w:sz w:val="32"/>
          <w:szCs w:val="32"/>
          <w:lang w:val="en-US" w:eastAsia="zh-CN"/>
        </w:rPr>
        <w:t>少7,703.00</w:t>
      </w:r>
      <w:r>
        <w:rPr>
          <w:rFonts w:hint="default" w:ascii="仿宋" w:hAnsi="仿宋" w:eastAsia="仿宋" w:cs="仿宋"/>
          <w:color w:val="auto"/>
          <w:sz w:val="32"/>
          <w:szCs w:val="32"/>
        </w:rPr>
        <w:t>万元，</w:t>
      </w:r>
      <w:r>
        <w:rPr>
          <w:rFonts w:hint="eastAsia" w:ascii="仿宋" w:hAnsi="仿宋" w:eastAsia="仿宋" w:cs="仿宋"/>
          <w:color w:val="auto"/>
          <w:sz w:val="32"/>
          <w:szCs w:val="32"/>
          <w:lang w:eastAsia="zh-CN"/>
        </w:rPr>
        <w:t>下降</w:t>
      </w:r>
      <w:r>
        <w:rPr>
          <w:rFonts w:hint="eastAsia" w:ascii="仿宋" w:hAnsi="仿宋" w:eastAsia="仿宋" w:cs="仿宋"/>
          <w:color w:val="auto"/>
          <w:sz w:val="32"/>
          <w:szCs w:val="32"/>
          <w:lang w:val="en-US" w:eastAsia="zh-CN"/>
        </w:rPr>
        <w:t>3.50</w:t>
      </w:r>
      <w:r>
        <w:rPr>
          <w:rFonts w:hint="default" w:ascii="仿宋" w:hAnsi="仿宋" w:eastAsia="仿宋" w:cs="仿宋"/>
          <w:color w:val="auto"/>
          <w:sz w:val="32"/>
          <w:szCs w:val="32"/>
        </w:rPr>
        <w:t>%，完成年初预算数</w:t>
      </w:r>
      <w:r>
        <w:rPr>
          <w:rFonts w:hint="eastAsia" w:ascii="仿宋" w:hAnsi="仿宋" w:eastAsia="仿宋" w:cs="仿宋"/>
          <w:color w:val="auto"/>
          <w:sz w:val="32"/>
          <w:szCs w:val="32"/>
          <w:lang w:val="en-US" w:eastAsia="zh-CN"/>
        </w:rPr>
        <w:t>226,971.00</w:t>
      </w:r>
      <w:r>
        <w:rPr>
          <w:rFonts w:hint="default" w:ascii="仿宋" w:hAnsi="仿宋" w:eastAsia="仿宋" w:cs="仿宋"/>
          <w:color w:val="auto"/>
          <w:sz w:val="32"/>
          <w:szCs w:val="32"/>
        </w:rPr>
        <w:t>万元的</w:t>
      </w:r>
      <w:r>
        <w:rPr>
          <w:rFonts w:hint="eastAsia" w:ascii="仿宋" w:hAnsi="仿宋" w:eastAsia="仿宋" w:cs="仿宋"/>
          <w:color w:val="auto"/>
          <w:sz w:val="32"/>
          <w:szCs w:val="32"/>
          <w:lang w:val="en-US" w:eastAsia="zh-CN"/>
        </w:rPr>
        <w:t>93.58</w:t>
      </w:r>
      <w:r>
        <w:rPr>
          <w:rFonts w:hint="default" w:ascii="仿宋" w:hAnsi="仿宋" w:eastAsia="仿宋" w:cs="仿宋"/>
          <w:color w:val="auto"/>
          <w:sz w:val="32"/>
          <w:szCs w:val="32"/>
        </w:rPr>
        <w:t>%</w:t>
      </w:r>
      <w:r>
        <w:rPr>
          <w:rFonts w:hint="eastAsia" w:ascii="仿宋" w:hAnsi="仿宋" w:eastAsia="仿宋" w:cs="仿宋"/>
          <w:color w:val="auto"/>
          <w:sz w:val="32"/>
          <w:szCs w:val="32"/>
          <w:lang w:eastAsia="zh-CN"/>
        </w:rPr>
        <w:t>，完成预算调整数</w:t>
      </w:r>
      <w:r>
        <w:rPr>
          <w:rFonts w:hint="eastAsia" w:ascii="仿宋" w:hAnsi="仿宋" w:eastAsia="仿宋" w:cs="仿宋"/>
          <w:color w:val="auto"/>
          <w:sz w:val="32"/>
          <w:szCs w:val="32"/>
          <w:lang w:val="en-US" w:eastAsia="zh-CN"/>
        </w:rPr>
        <w:t>220,596.00万元的96.28%</w:t>
      </w:r>
      <w:r>
        <w:rPr>
          <w:rFonts w:hint="default" w:ascii="仿宋" w:hAnsi="仿宋" w:eastAsia="仿宋" w:cs="仿宋"/>
          <w:color w:val="auto"/>
          <w:sz w:val="32"/>
          <w:szCs w:val="32"/>
        </w:rPr>
        <w:t>。</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楷体" w:hAnsi="楷体" w:eastAsia="楷体" w:cs="楷体"/>
          <w:color w:val="auto"/>
          <w:sz w:val="32"/>
          <w:szCs w:val="32"/>
        </w:rPr>
      </w:pPr>
      <w:r>
        <w:rPr>
          <w:rFonts w:hint="eastAsia" w:ascii="楷体" w:hAnsi="楷体" w:eastAsia="楷体" w:cs="楷体"/>
          <w:color w:val="auto"/>
          <w:sz w:val="32"/>
          <w:szCs w:val="32"/>
        </w:rPr>
        <w:t>（二）政府性基金预算执行情况</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政府性基金</w:t>
      </w:r>
      <w:r>
        <w:rPr>
          <w:rFonts w:hint="default" w:ascii="仿宋" w:hAnsi="仿宋" w:eastAsia="仿宋" w:cs="仿宋"/>
          <w:color w:val="auto"/>
          <w:sz w:val="32"/>
          <w:szCs w:val="32"/>
        </w:rPr>
        <w:t>预算收入完成</w:t>
      </w:r>
      <w:r>
        <w:rPr>
          <w:rFonts w:hint="eastAsia" w:ascii="仿宋" w:hAnsi="仿宋" w:eastAsia="仿宋" w:cs="仿宋"/>
          <w:color w:val="auto"/>
          <w:sz w:val="32"/>
          <w:szCs w:val="32"/>
          <w:lang w:val="en-US" w:eastAsia="zh-CN"/>
        </w:rPr>
        <w:t>110,140.00</w:t>
      </w:r>
      <w:r>
        <w:rPr>
          <w:rFonts w:hint="default" w:ascii="仿宋" w:hAnsi="仿宋" w:eastAsia="仿宋" w:cs="仿宋"/>
          <w:color w:val="auto"/>
          <w:sz w:val="32"/>
          <w:szCs w:val="32"/>
        </w:rPr>
        <w:t>万元，比上年</w:t>
      </w:r>
      <w:r>
        <w:rPr>
          <w:rFonts w:hint="eastAsia" w:ascii="仿宋" w:hAnsi="仿宋" w:eastAsia="仿宋" w:cs="仿宋"/>
          <w:color w:val="auto"/>
          <w:sz w:val="32"/>
          <w:szCs w:val="32"/>
          <w:lang w:val="en-US" w:eastAsia="zh-CN"/>
        </w:rPr>
        <w:t>58,635.00</w:t>
      </w:r>
      <w:r>
        <w:rPr>
          <w:rFonts w:hint="default" w:ascii="仿宋" w:hAnsi="仿宋" w:eastAsia="仿宋" w:cs="仿宋"/>
          <w:color w:val="auto"/>
          <w:sz w:val="32"/>
          <w:szCs w:val="32"/>
        </w:rPr>
        <w:t>万元</w:t>
      </w:r>
      <w:r>
        <w:rPr>
          <w:rFonts w:hint="eastAsia" w:ascii="仿宋" w:hAnsi="仿宋" w:eastAsia="仿宋" w:cs="仿宋"/>
          <w:color w:val="auto"/>
          <w:sz w:val="32"/>
          <w:szCs w:val="32"/>
          <w:lang w:val="en-US" w:eastAsia="zh-CN"/>
        </w:rPr>
        <w:t>增加51,505.00</w:t>
      </w:r>
      <w:r>
        <w:rPr>
          <w:rFonts w:hint="default" w:ascii="仿宋" w:hAnsi="仿宋" w:eastAsia="仿宋" w:cs="仿宋"/>
          <w:color w:val="auto"/>
          <w:sz w:val="32"/>
          <w:szCs w:val="32"/>
        </w:rPr>
        <w:t>万元，</w:t>
      </w:r>
      <w:r>
        <w:rPr>
          <w:rFonts w:hint="eastAsia" w:ascii="仿宋" w:hAnsi="仿宋" w:eastAsia="仿宋" w:cs="仿宋"/>
          <w:color w:val="auto"/>
          <w:sz w:val="32"/>
          <w:szCs w:val="32"/>
          <w:lang w:val="en-US" w:eastAsia="zh-CN"/>
        </w:rPr>
        <w:t>增长87.84</w:t>
      </w:r>
      <w:r>
        <w:rPr>
          <w:rFonts w:hint="default" w:ascii="仿宋" w:hAnsi="仿宋" w:eastAsia="仿宋" w:cs="仿宋"/>
          <w:color w:val="auto"/>
          <w:sz w:val="32"/>
          <w:szCs w:val="32"/>
        </w:rPr>
        <w:t>%，完成年初预算数</w:t>
      </w:r>
      <w:r>
        <w:rPr>
          <w:rFonts w:hint="eastAsia" w:ascii="仿宋" w:hAnsi="仿宋" w:eastAsia="仿宋" w:cs="仿宋"/>
          <w:color w:val="auto"/>
          <w:sz w:val="32"/>
          <w:szCs w:val="32"/>
          <w:lang w:val="en-US" w:eastAsia="zh-CN"/>
        </w:rPr>
        <w:t>200,803.00</w:t>
      </w:r>
      <w:r>
        <w:rPr>
          <w:rFonts w:hint="default" w:ascii="仿宋" w:hAnsi="仿宋" w:eastAsia="仿宋" w:cs="仿宋"/>
          <w:color w:val="auto"/>
          <w:sz w:val="32"/>
          <w:szCs w:val="32"/>
        </w:rPr>
        <w:t>万元的</w:t>
      </w:r>
      <w:r>
        <w:rPr>
          <w:rFonts w:hint="eastAsia" w:ascii="仿宋" w:hAnsi="仿宋" w:eastAsia="仿宋" w:cs="仿宋"/>
          <w:color w:val="auto"/>
          <w:sz w:val="32"/>
          <w:szCs w:val="32"/>
          <w:lang w:val="en-US" w:eastAsia="zh-CN"/>
        </w:rPr>
        <w:t>54.85</w:t>
      </w:r>
      <w:r>
        <w:rPr>
          <w:rFonts w:hint="default" w:ascii="仿宋" w:hAnsi="仿宋" w:eastAsia="仿宋" w:cs="仿宋"/>
          <w:color w:val="auto"/>
          <w:sz w:val="32"/>
          <w:szCs w:val="32"/>
        </w:rPr>
        <w:t>%</w:t>
      </w:r>
      <w:r>
        <w:rPr>
          <w:rFonts w:hint="eastAsia" w:ascii="仿宋" w:hAnsi="仿宋" w:eastAsia="仿宋" w:cs="仿宋"/>
          <w:color w:val="auto"/>
          <w:sz w:val="32"/>
          <w:szCs w:val="32"/>
          <w:lang w:eastAsia="zh-CN"/>
        </w:rPr>
        <w:t>，完成预算调整数</w:t>
      </w:r>
      <w:r>
        <w:rPr>
          <w:rFonts w:hint="eastAsia" w:ascii="仿宋" w:hAnsi="仿宋" w:eastAsia="仿宋" w:cs="仿宋"/>
          <w:color w:val="auto"/>
          <w:sz w:val="32"/>
          <w:szCs w:val="32"/>
          <w:lang w:val="en-US" w:eastAsia="zh-CN"/>
        </w:rPr>
        <w:t>137,033.00万元的80.37%</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政府性基金</w:t>
      </w:r>
      <w:r>
        <w:rPr>
          <w:rFonts w:hint="default" w:ascii="仿宋" w:hAnsi="仿宋" w:eastAsia="仿宋" w:cs="仿宋"/>
          <w:color w:val="auto"/>
          <w:sz w:val="32"/>
          <w:szCs w:val="32"/>
        </w:rPr>
        <w:t>预算支出</w:t>
      </w:r>
      <w:r>
        <w:rPr>
          <w:rFonts w:hint="eastAsia" w:ascii="仿宋" w:hAnsi="仿宋" w:eastAsia="仿宋" w:cs="仿宋"/>
          <w:color w:val="auto"/>
          <w:sz w:val="32"/>
          <w:szCs w:val="32"/>
          <w:lang w:eastAsia="zh-CN"/>
        </w:rPr>
        <w:t>完成</w:t>
      </w:r>
      <w:r>
        <w:rPr>
          <w:rFonts w:hint="eastAsia" w:ascii="仿宋" w:hAnsi="仿宋" w:eastAsia="仿宋" w:cs="仿宋"/>
          <w:color w:val="auto"/>
          <w:sz w:val="32"/>
          <w:szCs w:val="32"/>
          <w:lang w:val="en-US" w:eastAsia="zh-CN"/>
        </w:rPr>
        <w:t>119,033.00</w:t>
      </w:r>
      <w:r>
        <w:rPr>
          <w:rFonts w:hint="default" w:ascii="仿宋" w:hAnsi="仿宋" w:eastAsia="仿宋" w:cs="仿宋"/>
          <w:color w:val="auto"/>
          <w:sz w:val="32"/>
          <w:szCs w:val="32"/>
        </w:rPr>
        <w:t>万元，比上年</w:t>
      </w:r>
      <w:r>
        <w:rPr>
          <w:rFonts w:hint="eastAsia" w:ascii="仿宋" w:hAnsi="仿宋" w:eastAsia="仿宋" w:cs="仿宋"/>
          <w:color w:val="auto"/>
          <w:sz w:val="32"/>
          <w:szCs w:val="32"/>
          <w:lang w:val="en-US" w:eastAsia="zh-CN"/>
        </w:rPr>
        <w:t>71,531.00</w:t>
      </w:r>
      <w:r>
        <w:rPr>
          <w:rFonts w:hint="default" w:ascii="仿宋" w:hAnsi="仿宋" w:eastAsia="仿宋" w:cs="仿宋"/>
          <w:color w:val="auto"/>
          <w:sz w:val="32"/>
          <w:szCs w:val="32"/>
        </w:rPr>
        <w:t>万元，</w:t>
      </w:r>
      <w:r>
        <w:rPr>
          <w:rFonts w:hint="eastAsia" w:ascii="仿宋" w:hAnsi="仿宋" w:eastAsia="仿宋" w:cs="仿宋"/>
          <w:color w:val="auto"/>
          <w:sz w:val="32"/>
          <w:szCs w:val="32"/>
          <w:lang w:val="en-US" w:eastAsia="zh-CN"/>
        </w:rPr>
        <w:t>增加47,502.00</w:t>
      </w:r>
      <w:r>
        <w:rPr>
          <w:rFonts w:hint="default" w:ascii="仿宋" w:hAnsi="仿宋" w:eastAsia="仿宋" w:cs="仿宋"/>
          <w:color w:val="auto"/>
          <w:sz w:val="32"/>
          <w:szCs w:val="32"/>
        </w:rPr>
        <w:t>万元，</w:t>
      </w:r>
      <w:r>
        <w:rPr>
          <w:rFonts w:hint="eastAsia" w:ascii="仿宋" w:hAnsi="仿宋" w:eastAsia="仿宋" w:cs="仿宋"/>
          <w:color w:val="auto"/>
          <w:sz w:val="32"/>
          <w:szCs w:val="32"/>
          <w:lang w:val="en-US" w:eastAsia="zh-CN"/>
        </w:rPr>
        <w:t>增长66.41</w:t>
      </w:r>
      <w:r>
        <w:rPr>
          <w:rFonts w:hint="default" w:ascii="仿宋" w:hAnsi="仿宋" w:eastAsia="仿宋" w:cs="仿宋"/>
          <w:color w:val="auto"/>
          <w:sz w:val="32"/>
          <w:szCs w:val="32"/>
        </w:rPr>
        <w:t>%，完成年初预算数</w:t>
      </w:r>
      <w:r>
        <w:rPr>
          <w:rFonts w:hint="eastAsia" w:ascii="仿宋" w:hAnsi="仿宋" w:eastAsia="仿宋" w:cs="仿宋"/>
          <w:color w:val="auto"/>
          <w:sz w:val="32"/>
          <w:szCs w:val="32"/>
          <w:lang w:val="en-US" w:eastAsia="zh-CN"/>
        </w:rPr>
        <w:t>144,261.00</w:t>
      </w:r>
      <w:r>
        <w:rPr>
          <w:rFonts w:hint="default" w:ascii="仿宋" w:hAnsi="仿宋" w:eastAsia="仿宋" w:cs="仿宋"/>
          <w:color w:val="auto"/>
          <w:sz w:val="32"/>
          <w:szCs w:val="32"/>
        </w:rPr>
        <w:t>万元的</w:t>
      </w:r>
      <w:r>
        <w:rPr>
          <w:rFonts w:hint="eastAsia" w:ascii="仿宋" w:hAnsi="仿宋" w:eastAsia="仿宋" w:cs="仿宋"/>
          <w:color w:val="auto"/>
          <w:sz w:val="32"/>
          <w:szCs w:val="32"/>
          <w:lang w:val="en-US" w:eastAsia="zh-CN"/>
        </w:rPr>
        <w:t>82.54</w:t>
      </w:r>
      <w:r>
        <w:rPr>
          <w:rFonts w:hint="default" w:ascii="仿宋" w:hAnsi="仿宋" w:eastAsia="仿宋" w:cs="仿宋"/>
          <w:color w:val="auto"/>
          <w:sz w:val="32"/>
          <w:szCs w:val="32"/>
        </w:rPr>
        <w:t>%</w:t>
      </w:r>
      <w:r>
        <w:rPr>
          <w:rFonts w:hint="eastAsia" w:ascii="仿宋" w:hAnsi="仿宋" w:eastAsia="仿宋" w:cs="仿宋"/>
          <w:color w:val="auto"/>
          <w:sz w:val="32"/>
          <w:szCs w:val="32"/>
          <w:lang w:eastAsia="zh-CN"/>
        </w:rPr>
        <w:t>，完成预算调整数</w:t>
      </w:r>
      <w:r>
        <w:rPr>
          <w:rFonts w:hint="eastAsia" w:ascii="仿宋" w:hAnsi="仿宋" w:eastAsia="仿宋" w:cs="仿宋"/>
          <w:color w:val="auto"/>
          <w:sz w:val="32"/>
          <w:szCs w:val="32"/>
          <w:lang w:val="en-US" w:eastAsia="zh-CN"/>
        </w:rPr>
        <w:t>136,679.00万元的87.09%</w:t>
      </w:r>
      <w:r>
        <w:rPr>
          <w:rFonts w:hint="default" w:ascii="仿宋" w:hAnsi="仿宋" w:eastAsia="仿宋" w:cs="仿宋"/>
          <w:color w:val="auto"/>
          <w:sz w:val="32"/>
          <w:szCs w:val="32"/>
        </w:rPr>
        <w:t>。</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楷体" w:hAnsi="楷体" w:eastAsia="楷体" w:cs="楷体"/>
          <w:color w:val="auto"/>
          <w:sz w:val="32"/>
          <w:szCs w:val="32"/>
          <w:highlight w:val="none"/>
          <w:lang w:eastAsia="zh-CN"/>
        </w:rPr>
      </w:pPr>
      <w:r>
        <w:rPr>
          <w:rFonts w:hint="eastAsia" w:ascii="楷体" w:hAnsi="楷体" w:eastAsia="楷体" w:cs="楷体"/>
          <w:color w:val="auto"/>
          <w:sz w:val="32"/>
          <w:szCs w:val="32"/>
          <w:highlight w:val="none"/>
        </w:rPr>
        <w:t>（三）社会保险基金预算执行情况</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t>社会保险基金预算收入完成</w:t>
      </w:r>
      <w:r>
        <w:rPr>
          <w:rFonts w:hint="eastAsia" w:ascii="仿宋" w:hAnsi="仿宋" w:eastAsia="仿宋" w:cs="仿宋"/>
          <w:color w:val="auto"/>
          <w:sz w:val="32"/>
          <w:szCs w:val="32"/>
          <w:lang w:val="en-US" w:eastAsia="zh-CN"/>
        </w:rPr>
        <w:t>8.19</w:t>
      </w:r>
      <w:r>
        <w:rPr>
          <w:rFonts w:hint="default" w:ascii="仿宋" w:hAnsi="仿宋" w:eastAsia="仿宋" w:cs="仿宋"/>
          <w:color w:val="auto"/>
          <w:sz w:val="32"/>
          <w:szCs w:val="32"/>
          <w:lang w:val="en-US" w:eastAsia="zh-CN"/>
        </w:rPr>
        <w:t>亿元</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同比增长</w:t>
      </w:r>
      <w:r>
        <w:rPr>
          <w:rFonts w:hint="eastAsia" w:ascii="仿宋" w:hAnsi="仿宋" w:eastAsia="仿宋" w:cs="仿宋"/>
          <w:color w:val="auto"/>
          <w:sz w:val="32"/>
          <w:szCs w:val="32"/>
          <w:lang w:val="en-US" w:eastAsia="zh-CN"/>
        </w:rPr>
        <w:t>0.93</w:t>
      </w:r>
      <w:r>
        <w:rPr>
          <w:rFonts w:hint="default"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完成年初预算</w:t>
      </w:r>
      <w:r>
        <w:rPr>
          <w:rFonts w:hint="eastAsia" w:ascii="仿宋" w:hAnsi="仿宋" w:eastAsia="仿宋" w:cs="仿宋"/>
          <w:color w:val="auto"/>
          <w:sz w:val="32"/>
          <w:szCs w:val="32"/>
          <w:lang w:val="en-US" w:eastAsia="zh-CN"/>
        </w:rPr>
        <w:t>数的96.72</w:t>
      </w:r>
      <w:r>
        <w:rPr>
          <w:rFonts w:hint="default"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社会保险基金预算支出完成</w:t>
      </w:r>
      <w:r>
        <w:rPr>
          <w:rFonts w:hint="eastAsia" w:ascii="仿宋" w:hAnsi="仿宋" w:eastAsia="仿宋" w:cs="仿宋"/>
          <w:color w:val="auto"/>
          <w:sz w:val="32"/>
          <w:szCs w:val="32"/>
          <w:lang w:val="en-US" w:eastAsia="zh-CN"/>
        </w:rPr>
        <w:t>7.91</w:t>
      </w:r>
      <w:r>
        <w:rPr>
          <w:rFonts w:hint="default" w:ascii="仿宋" w:hAnsi="仿宋" w:eastAsia="仿宋" w:cs="仿宋"/>
          <w:color w:val="auto"/>
          <w:sz w:val="32"/>
          <w:szCs w:val="32"/>
          <w:lang w:val="en-US" w:eastAsia="zh-CN"/>
        </w:rPr>
        <w:t>亿元，同比</w:t>
      </w:r>
      <w:r>
        <w:rPr>
          <w:rFonts w:hint="eastAsia" w:ascii="仿宋" w:hAnsi="仿宋" w:eastAsia="仿宋" w:cs="仿宋"/>
          <w:color w:val="auto"/>
          <w:sz w:val="32"/>
          <w:szCs w:val="32"/>
          <w:lang w:val="en-US" w:eastAsia="zh-CN"/>
        </w:rPr>
        <w:t>增长</w:t>
      </w:r>
      <w:r>
        <w:rPr>
          <w:rFonts w:hint="default" w:ascii="仿宋" w:hAnsi="仿宋" w:eastAsia="仿宋" w:cs="仿宋"/>
          <w:color w:val="auto"/>
          <w:sz w:val="32"/>
          <w:szCs w:val="32"/>
          <w:lang w:val="en-US" w:eastAsia="zh-CN"/>
        </w:rPr>
        <w:t>16.</w:t>
      </w:r>
      <w:r>
        <w:rPr>
          <w:rFonts w:hint="eastAsia" w:ascii="仿宋" w:hAnsi="仿宋" w:eastAsia="仿宋" w:cs="仿宋"/>
          <w:color w:val="auto"/>
          <w:sz w:val="32"/>
          <w:szCs w:val="32"/>
          <w:lang w:val="en-US" w:eastAsia="zh-CN"/>
        </w:rPr>
        <w:t>78</w:t>
      </w:r>
      <w:r>
        <w:rPr>
          <w:rFonts w:hint="default" w:ascii="仿宋" w:hAnsi="仿宋" w:eastAsia="仿宋" w:cs="仿宋"/>
          <w:color w:val="auto"/>
          <w:sz w:val="32"/>
          <w:szCs w:val="32"/>
          <w:lang w:val="en-US" w:eastAsia="zh-CN"/>
        </w:rPr>
        <w:t>%</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完成年初预算</w:t>
      </w:r>
      <w:r>
        <w:rPr>
          <w:rFonts w:hint="eastAsia" w:ascii="仿宋" w:hAnsi="仿宋" w:eastAsia="仿宋" w:cs="仿宋"/>
          <w:color w:val="auto"/>
          <w:sz w:val="32"/>
          <w:szCs w:val="32"/>
          <w:lang w:val="en-US" w:eastAsia="zh-CN"/>
        </w:rPr>
        <w:t>数的100.06</w:t>
      </w:r>
      <w:r>
        <w:rPr>
          <w:rFonts w:hint="default" w:ascii="仿宋" w:hAnsi="仿宋" w:eastAsia="仿宋" w:cs="仿宋"/>
          <w:color w:val="auto"/>
          <w:sz w:val="32"/>
          <w:szCs w:val="32"/>
          <w:lang w:val="en-US" w:eastAsia="zh-CN"/>
        </w:rPr>
        <w:t>%。</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楷体" w:hAnsi="楷体" w:eastAsia="楷体" w:cs="楷体"/>
          <w:color w:val="auto"/>
          <w:sz w:val="32"/>
          <w:szCs w:val="32"/>
          <w:highlight w:val="none"/>
          <w:lang w:val="en-US" w:eastAsia="zh-CN"/>
        </w:rPr>
      </w:pPr>
      <w:r>
        <w:rPr>
          <w:rFonts w:hint="eastAsia" w:ascii="楷体" w:hAnsi="楷体" w:eastAsia="楷体" w:cs="楷体"/>
          <w:color w:val="auto"/>
          <w:sz w:val="32"/>
          <w:szCs w:val="32"/>
          <w:highlight w:val="none"/>
          <w:lang w:val="en-US" w:eastAsia="zh-CN"/>
        </w:rPr>
        <w:t>（四）国有资本经营预算执行情况</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国有资本经营预算收入完成</w:t>
      </w:r>
      <w:r>
        <w:rPr>
          <w:rFonts w:hint="eastAsia" w:ascii="仿宋" w:hAnsi="仿宋" w:eastAsia="仿宋" w:cs="仿宋"/>
          <w:color w:val="auto"/>
          <w:sz w:val="32"/>
          <w:szCs w:val="32"/>
          <w:lang w:val="en-US" w:eastAsia="zh-CN"/>
        </w:rPr>
        <w:t>200.00万元，同比下降94.01%；</w:t>
      </w:r>
      <w:r>
        <w:rPr>
          <w:rFonts w:hint="eastAsia" w:ascii="仿宋" w:hAnsi="仿宋" w:eastAsia="仿宋" w:cs="仿宋"/>
          <w:color w:val="auto"/>
          <w:sz w:val="32"/>
          <w:szCs w:val="32"/>
        </w:rPr>
        <w:t>国有资本经营预算支出完成</w:t>
      </w:r>
      <w:r>
        <w:rPr>
          <w:rFonts w:hint="eastAsia" w:ascii="仿宋" w:hAnsi="仿宋" w:eastAsia="仿宋" w:cs="仿宋"/>
          <w:color w:val="auto"/>
          <w:sz w:val="32"/>
          <w:szCs w:val="32"/>
          <w:lang w:val="en-US" w:eastAsia="zh-CN"/>
        </w:rPr>
        <w:t>0.00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同比</w:t>
      </w:r>
      <w:r>
        <w:rPr>
          <w:rFonts w:hint="eastAsia" w:ascii="仿宋" w:hAnsi="仿宋" w:eastAsia="仿宋" w:cs="仿宋"/>
          <w:color w:val="auto"/>
          <w:sz w:val="32"/>
          <w:szCs w:val="32"/>
          <w:lang w:val="en-US" w:eastAsia="zh-CN"/>
        </w:rPr>
        <w:t>下降100%。</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三、202</w:t>
      </w:r>
      <w:r>
        <w:rPr>
          <w:rFonts w:hint="eastAsia" w:ascii="黑体" w:hAnsi="黑体" w:eastAsia="黑体" w:cs="黑体"/>
          <w:color w:val="auto"/>
          <w:sz w:val="32"/>
          <w:szCs w:val="32"/>
          <w:lang w:val="en-US" w:eastAsia="zh-CN"/>
        </w:rPr>
        <w:t>4</w:t>
      </w:r>
      <w:r>
        <w:rPr>
          <w:rFonts w:hint="eastAsia" w:ascii="黑体" w:hAnsi="黑体" w:eastAsia="黑体" w:cs="黑体"/>
          <w:color w:val="auto"/>
          <w:sz w:val="32"/>
          <w:szCs w:val="32"/>
        </w:rPr>
        <w:t>年财政收支预算情况</w:t>
      </w:r>
    </w:p>
    <w:p>
      <w:pPr>
        <w:keepNext w:val="0"/>
        <w:keepLines w:val="0"/>
        <w:pageBreakBefore w:val="0"/>
        <w:widowControl w:val="0"/>
        <w:suppressLineNumbers w:val="0"/>
        <w:kinsoku/>
        <w:wordWrap w:val="0"/>
        <w:overflowPunct/>
        <w:topLinePunct w:val="0"/>
        <w:autoSpaceDE w:val="0"/>
        <w:autoSpaceDN/>
        <w:bidi w:val="0"/>
        <w:adjustRightInd/>
        <w:snapToGrid/>
        <w:spacing w:beforeAutospacing="0" w:afterAutospacing="0" w:line="590" w:lineRule="exact"/>
        <w:ind w:left="0" w:right="0" w:rightChars="0" w:firstLine="640" w:firstLineChars="200"/>
        <w:jc w:val="left"/>
        <w:textAlignment w:val="auto"/>
        <w:outlineLvl w:val="9"/>
        <w:rPr>
          <w:rFonts w:hint="default" w:ascii="Times New Roman" w:hAnsi="Times New Roman" w:cs="Times New Roman"/>
          <w:color w:val="auto"/>
          <w:highlight w:val="none"/>
        </w:rPr>
      </w:pPr>
      <w:r>
        <w:rPr>
          <w:rFonts w:hint="default" w:ascii="Times New Roman" w:hAnsi="Times New Roman" w:eastAsia="楷体" w:cs="Times New Roman"/>
          <w:color w:val="auto"/>
          <w:sz w:val="32"/>
          <w:szCs w:val="32"/>
          <w:lang w:val="en-US" w:eastAsia="zh-CN"/>
        </w:rPr>
        <w:t>（一）一般公共预算安排。</w:t>
      </w:r>
      <w:r>
        <w:rPr>
          <w:rFonts w:hint="eastAsia" w:ascii="仿宋" w:hAnsi="仿宋" w:eastAsia="仿宋" w:cs="仿宋"/>
          <w:color w:val="auto"/>
          <w:sz w:val="32"/>
          <w:szCs w:val="32"/>
          <w:lang w:val="en-US" w:eastAsia="zh-CN"/>
        </w:rPr>
        <w:t>2024</w:t>
      </w:r>
      <w:r>
        <w:rPr>
          <w:rFonts w:hint="eastAsia" w:ascii="Times New Roman" w:hAnsi="Times New Roman" w:eastAsia="楷体" w:cs="Times New Roman"/>
          <w:color w:val="auto"/>
          <w:sz w:val="32"/>
          <w:szCs w:val="32"/>
          <w:lang w:val="en-US" w:eastAsia="zh-CN"/>
        </w:rPr>
        <w:t>年</w:t>
      </w:r>
      <w:r>
        <w:rPr>
          <w:rFonts w:hint="eastAsia" w:ascii="仿宋" w:hAnsi="仿宋" w:eastAsia="仿宋" w:cs="仿宋"/>
          <w:color w:val="auto"/>
          <w:sz w:val="32"/>
          <w:szCs w:val="32"/>
        </w:rPr>
        <w:t>一般公共预算收入安排</w:t>
      </w:r>
      <w:r>
        <w:rPr>
          <w:rFonts w:hint="eastAsia" w:ascii="仿宋" w:hAnsi="仿宋" w:eastAsia="仿宋" w:cs="仿宋"/>
          <w:color w:val="auto"/>
          <w:sz w:val="32"/>
          <w:szCs w:val="32"/>
          <w:lang w:val="en-US" w:eastAsia="zh-CN"/>
        </w:rPr>
        <w:t>7.11</w:t>
      </w:r>
      <w:r>
        <w:rPr>
          <w:rFonts w:hint="eastAsia" w:ascii="仿宋" w:hAnsi="仿宋" w:eastAsia="仿宋" w:cs="仿宋"/>
          <w:color w:val="auto"/>
          <w:sz w:val="32"/>
          <w:szCs w:val="32"/>
        </w:rPr>
        <w:t>亿元，同比增长</w:t>
      </w:r>
      <w:r>
        <w:rPr>
          <w:rFonts w:hint="eastAsia" w:ascii="仿宋" w:hAnsi="仿宋" w:eastAsia="仿宋" w:cs="仿宋"/>
          <w:color w:val="auto"/>
          <w:sz w:val="32"/>
          <w:szCs w:val="32"/>
          <w:lang w:val="en-US" w:eastAsia="zh-CN"/>
        </w:rPr>
        <w:t>22.30</w:t>
      </w:r>
      <w:r>
        <w:rPr>
          <w:rFonts w:hint="eastAsia" w:ascii="仿宋" w:hAnsi="仿宋" w:eastAsia="仿宋" w:cs="仿宋"/>
          <w:color w:val="auto"/>
          <w:sz w:val="32"/>
          <w:szCs w:val="32"/>
        </w:rPr>
        <w:t>%，其中：税收收入安排</w:t>
      </w:r>
      <w:r>
        <w:rPr>
          <w:rFonts w:hint="eastAsia" w:ascii="仿宋" w:hAnsi="仿宋" w:eastAsia="仿宋" w:cs="仿宋"/>
          <w:color w:val="auto"/>
          <w:sz w:val="32"/>
          <w:szCs w:val="32"/>
          <w:lang w:val="en-US" w:eastAsia="zh-CN"/>
        </w:rPr>
        <w:t>5.10</w:t>
      </w:r>
      <w:r>
        <w:rPr>
          <w:rFonts w:hint="eastAsia" w:ascii="仿宋" w:hAnsi="仿宋" w:eastAsia="仿宋" w:cs="仿宋"/>
          <w:color w:val="auto"/>
          <w:sz w:val="32"/>
          <w:szCs w:val="32"/>
        </w:rPr>
        <w:t>亿元，同比增长</w:t>
      </w:r>
      <w:r>
        <w:rPr>
          <w:rFonts w:hint="eastAsia" w:ascii="仿宋" w:hAnsi="仿宋" w:eastAsia="仿宋" w:cs="仿宋"/>
          <w:color w:val="auto"/>
          <w:sz w:val="32"/>
          <w:szCs w:val="32"/>
          <w:lang w:val="en-US" w:eastAsia="zh-CN"/>
        </w:rPr>
        <w:t>47.32</w:t>
      </w:r>
      <w:r>
        <w:rPr>
          <w:rFonts w:hint="eastAsia" w:ascii="仿宋" w:hAnsi="仿宋" w:eastAsia="仿宋" w:cs="仿宋"/>
          <w:color w:val="auto"/>
          <w:sz w:val="32"/>
          <w:szCs w:val="32"/>
        </w:rPr>
        <w:t>%；非税收入安排2.</w:t>
      </w:r>
      <w:r>
        <w:rPr>
          <w:rFonts w:hint="eastAsia" w:ascii="仿宋" w:hAnsi="仿宋" w:eastAsia="仿宋" w:cs="仿宋"/>
          <w:color w:val="auto"/>
          <w:sz w:val="32"/>
          <w:szCs w:val="32"/>
          <w:lang w:val="en-US" w:eastAsia="zh-CN"/>
        </w:rPr>
        <w:t>01</w:t>
      </w:r>
      <w:r>
        <w:rPr>
          <w:rFonts w:hint="eastAsia" w:ascii="仿宋" w:hAnsi="仿宋" w:eastAsia="仿宋" w:cs="仿宋"/>
          <w:color w:val="auto"/>
          <w:sz w:val="32"/>
          <w:szCs w:val="32"/>
        </w:rPr>
        <w:t>亿元，同比下降</w:t>
      </w:r>
      <w:r>
        <w:rPr>
          <w:rFonts w:hint="eastAsia" w:ascii="仿宋" w:hAnsi="仿宋" w:eastAsia="仿宋" w:cs="仿宋"/>
          <w:color w:val="auto"/>
          <w:sz w:val="32"/>
          <w:szCs w:val="32"/>
          <w:lang w:val="en-US" w:eastAsia="zh-CN"/>
        </w:rPr>
        <w:t>14.50</w:t>
      </w:r>
      <w:r>
        <w:rPr>
          <w:rFonts w:hint="eastAsia" w:ascii="仿宋" w:hAnsi="仿宋" w:eastAsia="仿宋" w:cs="仿宋"/>
          <w:color w:val="auto"/>
          <w:sz w:val="32"/>
          <w:szCs w:val="32"/>
        </w:rPr>
        <w:t>%。一般公共预算支出安排2</w:t>
      </w:r>
      <w:r>
        <w:rPr>
          <w:rFonts w:hint="eastAsia" w:ascii="仿宋" w:hAnsi="仿宋" w:eastAsia="仿宋" w:cs="仿宋"/>
          <w:color w:val="auto"/>
          <w:sz w:val="32"/>
          <w:szCs w:val="32"/>
          <w:lang w:val="en-US" w:eastAsia="zh-CN"/>
        </w:rPr>
        <w:t>1.45</w:t>
      </w:r>
      <w:r>
        <w:rPr>
          <w:rFonts w:hint="eastAsia" w:ascii="仿宋" w:hAnsi="仿宋" w:eastAsia="仿宋" w:cs="仿宋"/>
          <w:color w:val="auto"/>
          <w:sz w:val="32"/>
          <w:szCs w:val="32"/>
        </w:rPr>
        <w:t>亿元，同比增长</w:t>
      </w:r>
      <w:r>
        <w:rPr>
          <w:rFonts w:hint="eastAsia" w:ascii="仿宋" w:hAnsi="仿宋" w:eastAsia="仿宋" w:cs="仿宋"/>
          <w:color w:val="auto"/>
          <w:sz w:val="32"/>
          <w:szCs w:val="32"/>
          <w:lang w:val="en-US" w:eastAsia="zh-CN"/>
        </w:rPr>
        <w:t>0.99</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left="0" w:leftChars="0" w:right="0" w:rightChars="0" w:firstLine="640" w:firstLineChars="200"/>
        <w:jc w:val="both"/>
        <w:textAlignment w:val="auto"/>
        <w:outlineLvl w:val="9"/>
        <w:rPr>
          <w:rFonts w:hint="eastAsia" w:ascii="仿宋" w:hAnsi="仿宋" w:eastAsia="仿宋" w:cs="仿宋"/>
          <w:color w:val="auto"/>
          <w:sz w:val="32"/>
          <w:szCs w:val="32"/>
          <w:lang w:eastAsia="zh-CN"/>
        </w:rPr>
      </w:pPr>
      <w:r>
        <w:rPr>
          <w:rFonts w:hint="default" w:ascii="楷体" w:hAnsi="楷体" w:eastAsia="楷体" w:cs="楷体"/>
          <w:color w:val="auto"/>
          <w:sz w:val="32"/>
          <w:szCs w:val="32"/>
          <w:lang w:val="en-US" w:eastAsia="zh-CN"/>
        </w:rPr>
        <w:t>（二）政府性基金预算安排</w:t>
      </w:r>
      <w:r>
        <w:rPr>
          <w:rFonts w:hint="eastAsia" w:ascii="楷体" w:hAnsi="楷体" w:eastAsia="楷体" w:cs="楷体"/>
          <w:color w:val="auto"/>
          <w:sz w:val="32"/>
          <w:szCs w:val="32"/>
          <w:lang w:val="en-US" w:eastAsia="zh-CN"/>
        </w:rPr>
        <w:t>。</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年澄江市政府性基金预算收入安排</w:t>
      </w:r>
      <w:r>
        <w:rPr>
          <w:rFonts w:hint="eastAsia" w:ascii="仿宋" w:hAnsi="仿宋" w:eastAsia="仿宋" w:cs="仿宋"/>
          <w:color w:val="auto"/>
          <w:sz w:val="32"/>
          <w:szCs w:val="32"/>
          <w:lang w:val="en-US" w:eastAsia="zh-CN"/>
        </w:rPr>
        <w:t>12.59</w:t>
      </w:r>
      <w:r>
        <w:rPr>
          <w:rFonts w:hint="eastAsia" w:ascii="仿宋" w:hAnsi="仿宋" w:eastAsia="仿宋" w:cs="仿宋"/>
          <w:color w:val="auto"/>
          <w:sz w:val="32"/>
          <w:szCs w:val="32"/>
        </w:rPr>
        <w:t>亿元，同比增长</w:t>
      </w:r>
      <w:r>
        <w:rPr>
          <w:rFonts w:hint="eastAsia" w:ascii="仿宋" w:hAnsi="仿宋" w:eastAsia="仿宋" w:cs="仿宋"/>
          <w:color w:val="auto"/>
          <w:sz w:val="32"/>
          <w:szCs w:val="32"/>
          <w:lang w:val="en-US" w:eastAsia="zh-CN"/>
        </w:rPr>
        <w:t>14.32</w:t>
      </w:r>
      <w:r>
        <w:rPr>
          <w:rFonts w:hint="eastAsia" w:ascii="仿宋" w:hAnsi="仿宋" w:eastAsia="仿宋" w:cs="仿宋"/>
          <w:color w:val="auto"/>
          <w:sz w:val="32"/>
          <w:szCs w:val="32"/>
        </w:rPr>
        <w:t>%，其中：土地出让价款收入</w:t>
      </w:r>
      <w:r>
        <w:rPr>
          <w:rFonts w:hint="eastAsia" w:ascii="仿宋" w:hAnsi="仿宋" w:eastAsia="仿宋" w:cs="仿宋"/>
          <w:color w:val="auto"/>
          <w:sz w:val="32"/>
          <w:szCs w:val="32"/>
          <w:lang w:val="en-US" w:eastAsia="zh-CN"/>
        </w:rPr>
        <w:t>12.30</w:t>
      </w:r>
      <w:r>
        <w:rPr>
          <w:rFonts w:hint="eastAsia" w:ascii="仿宋" w:hAnsi="仿宋" w:eastAsia="仿宋" w:cs="仿宋"/>
          <w:color w:val="auto"/>
          <w:sz w:val="32"/>
          <w:szCs w:val="32"/>
        </w:rPr>
        <w:t>亿元，污水处理费</w:t>
      </w:r>
      <w:r>
        <w:rPr>
          <w:rFonts w:hint="eastAsia" w:ascii="仿宋" w:hAnsi="仿宋" w:eastAsia="仿宋" w:cs="仿宋"/>
          <w:color w:val="auto"/>
          <w:sz w:val="32"/>
          <w:szCs w:val="32"/>
          <w:lang w:val="en-US" w:eastAsia="zh-CN"/>
        </w:rPr>
        <w:t>2,942.00</w:t>
      </w:r>
      <w:r>
        <w:rPr>
          <w:rFonts w:hint="eastAsia" w:ascii="仿宋" w:hAnsi="仿宋" w:eastAsia="仿宋" w:cs="仿宋"/>
          <w:color w:val="auto"/>
          <w:sz w:val="32"/>
          <w:szCs w:val="32"/>
        </w:rPr>
        <w:t>万元；政府性基金预算支出安排</w:t>
      </w:r>
      <w:r>
        <w:rPr>
          <w:rFonts w:hint="eastAsia" w:ascii="仿宋" w:hAnsi="仿宋" w:eastAsia="仿宋" w:cs="仿宋"/>
          <w:color w:val="auto"/>
          <w:sz w:val="32"/>
          <w:szCs w:val="32"/>
          <w:lang w:val="en-US" w:eastAsia="zh-CN"/>
        </w:rPr>
        <w:t>10.96</w:t>
      </w:r>
      <w:r>
        <w:rPr>
          <w:rFonts w:hint="eastAsia" w:ascii="仿宋" w:hAnsi="仿宋" w:eastAsia="仿宋" w:cs="仿宋"/>
          <w:color w:val="auto"/>
          <w:sz w:val="32"/>
          <w:szCs w:val="32"/>
        </w:rPr>
        <w:t>亿元，同比</w:t>
      </w:r>
      <w:r>
        <w:rPr>
          <w:rFonts w:hint="eastAsia" w:ascii="仿宋" w:hAnsi="仿宋" w:eastAsia="仿宋" w:cs="仿宋"/>
          <w:color w:val="auto"/>
          <w:sz w:val="32"/>
          <w:szCs w:val="32"/>
          <w:lang w:val="en-US" w:eastAsia="zh-CN"/>
        </w:rPr>
        <w:t>下降7.93</w:t>
      </w:r>
      <w:r>
        <w:rPr>
          <w:rFonts w:hint="eastAsia" w:ascii="仿宋" w:hAnsi="仿宋" w:eastAsia="仿宋" w:cs="仿宋"/>
          <w:color w:val="auto"/>
          <w:sz w:val="32"/>
          <w:szCs w:val="32"/>
        </w:rPr>
        <w:t>%。</w:t>
      </w:r>
    </w:p>
    <w:p>
      <w:pPr>
        <w:keepNext w:val="0"/>
        <w:keepLines w:val="0"/>
        <w:pageBreakBefore w:val="0"/>
        <w:widowControl w:val="0"/>
        <w:kinsoku/>
        <w:wordWrap/>
        <w:overflowPunct/>
        <w:topLinePunct w:val="0"/>
        <w:autoSpaceDN/>
        <w:bidi w:val="0"/>
        <w:adjustRightInd/>
        <w:snapToGrid/>
        <w:spacing w:line="590" w:lineRule="exact"/>
        <w:ind w:left="0" w:leftChars="0" w:right="0" w:rightChars="0" w:firstLine="640" w:firstLineChars="200"/>
        <w:textAlignment w:val="auto"/>
        <w:outlineLvl w:val="9"/>
        <w:rPr>
          <w:rFonts w:hint="eastAsia" w:ascii="仿宋" w:hAnsi="仿宋" w:eastAsia="仿宋" w:cs="仿宋"/>
          <w:color w:val="auto"/>
          <w:sz w:val="32"/>
          <w:szCs w:val="32"/>
        </w:rPr>
      </w:pPr>
      <w:r>
        <w:rPr>
          <w:rFonts w:hint="eastAsia" w:ascii="楷体" w:hAnsi="楷体" w:eastAsia="楷体" w:cs="楷体"/>
          <w:color w:val="auto"/>
          <w:sz w:val="32"/>
          <w:szCs w:val="32"/>
        </w:rPr>
        <w:t>（三）社会保险基金预算安排</w:t>
      </w:r>
      <w:r>
        <w:rPr>
          <w:rFonts w:hint="eastAsia" w:ascii="楷体" w:hAnsi="楷体" w:eastAsia="楷体" w:cs="楷体"/>
          <w:color w:val="auto"/>
          <w:sz w:val="32"/>
          <w:szCs w:val="32"/>
          <w:lang w:eastAsia="zh-CN"/>
        </w:rPr>
        <w:t>。</w:t>
      </w:r>
      <w:r>
        <w:rPr>
          <w:rFonts w:hint="default" w:ascii="仿宋" w:hAnsi="仿宋" w:eastAsia="仿宋" w:cs="仿宋"/>
          <w:color w:val="auto"/>
          <w:sz w:val="32"/>
          <w:szCs w:val="32"/>
          <w:lang w:val="en-US" w:eastAsia="zh-CN"/>
        </w:rPr>
        <w:t>2024年</w:t>
      </w:r>
      <w:r>
        <w:rPr>
          <w:rFonts w:hint="default" w:ascii="仿宋" w:hAnsi="仿宋" w:eastAsia="仿宋" w:cs="仿宋"/>
          <w:color w:val="auto"/>
          <w:sz w:val="32"/>
          <w:szCs w:val="32"/>
        </w:rPr>
        <w:t>社会保险基金预算收入安排</w:t>
      </w:r>
      <w:r>
        <w:rPr>
          <w:rFonts w:hint="default" w:ascii="仿宋" w:hAnsi="仿宋" w:eastAsia="仿宋" w:cs="仿宋"/>
          <w:color w:val="auto"/>
          <w:sz w:val="32"/>
          <w:szCs w:val="32"/>
          <w:lang w:val="en-US" w:eastAsia="zh-CN"/>
        </w:rPr>
        <w:t>8.95</w:t>
      </w:r>
      <w:r>
        <w:rPr>
          <w:rFonts w:hint="default" w:ascii="仿宋" w:hAnsi="仿宋" w:eastAsia="仿宋" w:cs="仿宋"/>
          <w:color w:val="auto"/>
          <w:sz w:val="32"/>
          <w:szCs w:val="32"/>
          <w:lang w:eastAsia="zh-CN"/>
        </w:rPr>
        <w:t>亿</w:t>
      </w:r>
      <w:r>
        <w:rPr>
          <w:rFonts w:hint="default" w:ascii="仿宋" w:hAnsi="仿宋" w:eastAsia="仿宋" w:cs="仿宋"/>
          <w:color w:val="auto"/>
          <w:sz w:val="32"/>
          <w:szCs w:val="32"/>
        </w:rPr>
        <w:t>元，</w:t>
      </w:r>
      <w:r>
        <w:rPr>
          <w:rFonts w:hint="default" w:ascii="仿宋" w:hAnsi="仿宋" w:eastAsia="仿宋" w:cs="仿宋"/>
          <w:color w:val="auto"/>
          <w:sz w:val="32"/>
          <w:szCs w:val="32"/>
          <w:lang w:eastAsia="zh-CN"/>
        </w:rPr>
        <w:t>同比</w:t>
      </w:r>
      <w:r>
        <w:rPr>
          <w:rFonts w:hint="default" w:ascii="仿宋" w:hAnsi="仿宋" w:eastAsia="仿宋" w:cs="仿宋"/>
          <w:color w:val="auto"/>
          <w:sz w:val="32"/>
          <w:szCs w:val="32"/>
        </w:rPr>
        <w:t>增长</w:t>
      </w:r>
      <w:r>
        <w:rPr>
          <w:rFonts w:hint="default" w:ascii="仿宋" w:hAnsi="仿宋" w:eastAsia="仿宋" w:cs="仿宋"/>
          <w:color w:val="auto"/>
          <w:sz w:val="32"/>
          <w:szCs w:val="32"/>
          <w:lang w:val="en-US" w:eastAsia="zh-CN"/>
        </w:rPr>
        <w:t>9.33</w:t>
      </w:r>
      <w:r>
        <w:rPr>
          <w:rFonts w:hint="default" w:ascii="仿宋" w:hAnsi="仿宋" w:eastAsia="仿宋" w:cs="仿宋"/>
          <w:color w:val="auto"/>
          <w:sz w:val="32"/>
          <w:szCs w:val="32"/>
        </w:rPr>
        <w:t>%</w:t>
      </w:r>
      <w:r>
        <w:rPr>
          <w:rFonts w:hint="eastAsia" w:ascii="仿宋" w:hAnsi="仿宋" w:eastAsia="仿宋" w:cs="仿宋"/>
          <w:color w:val="auto"/>
          <w:sz w:val="32"/>
          <w:szCs w:val="32"/>
          <w:lang w:eastAsia="zh-CN"/>
        </w:rPr>
        <w:t>；</w:t>
      </w:r>
      <w:r>
        <w:rPr>
          <w:rFonts w:hint="default" w:ascii="仿宋" w:hAnsi="仿宋" w:eastAsia="仿宋" w:cs="仿宋"/>
          <w:color w:val="auto"/>
          <w:sz w:val="32"/>
          <w:szCs w:val="32"/>
        </w:rPr>
        <w:t>社会保险基金预算支出</w:t>
      </w:r>
      <w:r>
        <w:rPr>
          <w:rFonts w:hint="eastAsia" w:ascii="仿宋" w:hAnsi="仿宋" w:eastAsia="仿宋" w:cs="仿宋"/>
          <w:color w:val="auto"/>
          <w:sz w:val="32"/>
          <w:szCs w:val="32"/>
          <w:lang w:eastAsia="zh-CN"/>
        </w:rPr>
        <w:t>安排</w:t>
      </w:r>
      <w:r>
        <w:rPr>
          <w:rFonts w:hint="default" w:ascii="仿宋" w:hAnsi="仿宋" w:eastAsia="仿宋" w:cs="仿宋"/>
          <w:color w:val="auto"/>
          <w:sz w:val="32"/>
          <w:szCs w:val="32"/>
          <w:lang w:val="en-US" w:eastAsia="zh-CN"/>
        </w:rPr>
        <w:t>8.04</w:t>
      </w:r>
      <w:r>
        <w:rPr>
          <w:rFonts w:hint="eastAsia" w:ascii="仿宋" w:hAnsi="仿宋" w:eastAsia="仿宋" w:cs="仿宋"/>
          <w:color w:val="auto"/>
          <w:sz w:val="32"/>
          <w:szCs w:val="32"/>
          <w:lang w:val="en-US" w:eastAsia="zh-CN"/>
        </w:rPr>
        <w:t>亿</w:t>
      </w:r>
      <w:r>
        <w:rPr>
          <w:rFonts w:hint="default" w:ascii="仿宋" w:hAnsi="仿宋" w:eastAsia="仿宋" w:cs="仿宋"/>
          <w:color w:val="auto"/>
          <w:sz w:val="32"/>
          <w:szCs w:val="32"/>
        </w:rPr>
        <w:t>元，</w:t>
      </w:r>
      <w:r>
        <w:rPr>
          <w:rFonts w:hint="default" w:ascii="仿宋" w:hAnsi="仿宋" w:eastAsia="仿宋" w:cs="仿宋"/>
          <w:color w:val="auto"/>
          <w:sz w:val="32"/>
          <w:szCs w:val="32"/>
          <w:lang w:eastAsia="zh-CN"/>
        </w:rPr>
        <w:t>同比</w:t>
      </w:r>
      <w:r>
        <w:rPr>
          <w:rFonts w:hint="default" w:ascii="仿宋" w:hAnsi="仿宋" w:eastAsia="仿宋" w:cs="仿宋"/>
          <w:color w:val="auto"/>
          <w:sz w:val="32"/>
          <w:szCs w:val="32"/>
        </w:rPr>
        <w:t>增长</w:t>
      </w:r>
      <w:r>
        <w:rPr>
          <w:rFonts w:hint="default" w:ascii="仿宋" w:hAnsi="仿宋" w:eastAsia="仿宋" w:cs="仿宋"/>
          <w:color w:val="auto"/>
          <w:sz w:val="32"/>
          <w:szCs w:val="32"/>
          <w:lang w:val="en-US" w:eastAsia="zh-CN"/>
        </w:rPr>
        <w:t>1.69</w:t>
      </w:r>
      <w:r>
        <w:rPr>
          <w:rFonts w:hint="default" w:ascii="仿宋" w:hAnsi="仿宋" w:eastAsia="仿宋" w:cs="仿宋"/>
          <w:color w:val="auto"/>
          <w:sz w:val="32"/>
          <w:szCs w:val="32"/>
        </w:rPr>
        <w:t>%。</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eastAsia="方正仿宋_GBK"/>
          <w:color w:val="auto"/>
          <w:sz w:val="32"/>
          <w:szCs w:val="32"/>
          <w:highlight w:val="none"/>
          <w:lang w:val="en-US" w:eastAsia="zh-CN"/>
        </w:rPr>
      </w:pPr>
      <w:r>
        <w:rPr>
          <w:rFonts w:hint="eastAsia" w:ascii="楷体" w:hAnsi="楷体" w:eastAsia="楷体" w:cs="楷体"/>
          <w:color w:val="auto"/>
          <w:sz w:val="32"/>
          <w:szCs w:val="32"/>
        </w:rPr>
        <w:t>（四）国有资本经营预算安排</w:t>
      </w:r>
      <w:r>
        <w:rPr>
          <w:rFonts w:hint="eastAsia" w:ascii="楷体" w:hAnsi="楷体" w:eastAsia="楷体" w:cs="楷体"/>
          <w:color w:val="auto"/>
          <w:sz w:val="32"/>
          <w:szCs w:val="32"/>
          <w:lang w:eastAsia="zh-CN"/>
        </w:rPr>
        <w:t>。</w:t>
      </w:r>
      <w:r>
        <w:rPr>
          <w:rFonts w:hint="eastAsia" w:ascii="仿宋" w:hAnsi="仿宋" w:eastAsia="仿宋" w:cs="仿宋"/>
          <w:color w:val="auto"/>
          <w:sz w:val="32"/>
          <w:szCs w:val="32"/>
          <w:lang w:val="en-US" w:eastAsia="zh-CN"/>
        </w:rPr>
        <w:t>2024年澄江市国有资本经营预算收入安排1,300.00万元，同比增长550.00%；国有资本经营预算支出安排19.00万元，同比增长100.00%。</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四、转移支付情况</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澄江市2023年转移性收入169,916.00万元，其中：返还性收入5,214.00万元（消费税和增值税税收返还277.00万元，所得税基数返还782.00万,中央返还和地方上缴基数4,155.00万元）；一般性转移支付补助收入86,852.00万元（均衡性转移支付收入15,443.00万元,县级基本财力保障机制奖补资金收入5,226.00万元,结算补助收入12,248.00万元,企业事业单位划转补助收入841.00万元，增值税留抵退税转移支付收入</w:t>
      </w:r>
      <w:r>
        <w:rPr>
          <w:rFonts w:hint="eastAsia" w:ascii="仿宋" w:hAnsi="仿宋" w:eastAsia="仿宋" w:cs="仿宋"/>
          <w:color w:val="auto"/>
          <w:sz w:val="32"/>
          <w:szCs w:val="32"/>
          <w:highlight w:val="none"/>
          <w:lang w:val="en-US" w:eastAsia="zh-CN"/>
        </w:rPr>
        <w:t>4128.00万元</w:t>
      </w:r>
      <w:r>
        <w:rPr>
          <w:rFonts w:hint="eastAsia" w:ascii="仿宋" w:hAnsi="仿宋" w:eastAsia="仿宋" w:cs="仿宋"/>
          <w:color w:val="auto"/>
          <w:sz w:val="32"/>
          <w:szCs w:val="32"/>
          <w:lang w:val="en-US" w:eastAsia="zh-CN"/>
        </w:rPr>
        <w:t>，重点生态功能区转移支付收入4,836.00万元,固定数额补助收入7,032.00万元,欠发达地区转移支付收入2,367.00万元,公共安全共同财政事权转移支付收入1,011.00万元,教育共同财政事权转移支付收入7,541.00万元,社会保障和就业共同财政事权转移支付收入10,321.00万元,医疗卫生共同财政事权转移支付收入3,518.00万元，住房保障共同财政事权转移支付收入607.00万元，科学技术共同财政事权转移支付收入500.00万元，文化旅游体育与传媒共同财政事权转移支付收入197.00万元，节能环保共同财政事权转移支付收入572.00万元，农林水共同财政事权转移支付收入9,497.00万元，交通运输共同财政事权转移支付收入623.00万元，粮油物资储备共同财政事权转移支付收入43.00万元，灾害防治及应急管理共同财政事权转移支付收入159.00万元，其他一般性转移支付收入137.00万元，其他共同财政事权转移支付收入5.00万元）；上级专项补助收入77,850.00万元（一般公共服务504.00万元，国防96.00万元，公共安全818.00万元，教育131.00万元，科学技术219.00万元，文化旅游体育和传媒228.00万元，社会保障和就业1,153.00万元，卫生健康538.00万元，节能环保61,706.00万元，城乡社区事务691.00万元，农林水事务4588.00万元，交通运输805.00万元，商业服务业等事务200.00万元，自然资源海洋气象31.00万元，住房保障支出5,984.00万元，灾害防治及应急管理支出158.00万元）。</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澄江市2024年预计转移性收入145,686.00万元，其中：返还性收入5,214.00万元；一般性转移支付补助收入79,047.00万元（均衡性转移支付收入16,987.00万元,县级基本财力保障机制奖补资金收入5,749.00万元,结算补助收入13,473.00万元,企事业单位划转支付收入841.00万元，重点生态功能区转移支付收入7,000.00万元,固定数额补助收入7,063.00万元,巩固脱贫攻坚成果衔接乡村振兴转移支付收入2,367.00万元,公共安全共同财政事权转移支付收入1,011.00万元,教育共同财政事权转移支付收入4,458.00万元,科学技术共同财政事权转移支付收入600.00万元，文化旅游体育与传媒共同财政事权转移支付收入47.00万元，社会保障和就业共同财政事权转移支付收入12,478.00万元,医疗卫生共同财政事权转移支付收入2,136.00万元，节能环保共同财政事权转移支付收入122.00万元，农林水共同财政事权转移支付收入3,274.00万元，交通运输共同财政事权转移支付收入660.00万元，住房保障共同财政事权转移支付收入604.00万元，灾害防治及应急管理共同财政事权转移支付收入35.00万元，其他共同财政事权转移支付收入5.00万元，其他一般性转移支付收入137.00万元）；上级专项补助收入61,425.00万元（一般公共服务327.00万元，国防96.00万元，公共安全750.00万元，教育132.00万元，科学技术219.00万元，文化旅游体育与传媒200.00万元，社会保障和就业1,149.00万元，卫生健康558.00万元，节能环保47,212.00万元，城乡社区600.00万元，农林水4,236.00万元，交通运输448.00万元，商业服务业等事务200.00万元，自然资源海洋气象31.00万元，住房保障5,107万元，灾害防治及应急管理支出160.00万元）。</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使用情况：一般性转移支付补助收入和返还性收入主要用于人员供养支出、部门（单位）和乡镇（街道）正常运转支出、民生支出。专项转移支付补助收入根据上级下达专项用途安排支出。</w:t>
      </w:r>
    </w:p>
    <w:p>
      <w:pPr>
        <w:keepNext w:val="0"/>
        <w:keepLines w:val="0"/>
        <w:pageBreakBefore w:val="0"/>
        <w:widowControl w:val="0"/>
        <w:kinsoku/>
        <w:overflowPunct/>
        <w:topLinePunct w:val="0"/>
        <w:autoSpaceDN/>
        <w:bidi w:val="0"/>
        <w:adjustRightInd/>
        <w:snapToGrid/>
        <w:spacing w:line="590" w:lineRule="exact"/>
        <w:ind w:left="0"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五、债务管理情况说明</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（一）地方政府债务余额情况。</w:t>
      </w:r>
      <w:r>
        <w:rPr>
          <w:rFonts w:hint="eastAsia" w:ascii="仿宋" w:hAnsi="仿宋" w:eastAsia="仿宋" w:cs="仿宋"/>
          <w:color w:val="auto"/>
          <w:sz w:val="32"/>
          <w:szCs w:val="32"/>
          <w:lang w:val="en-US" w:eastAsia="zh-CN"/>
        </w:rPr>
        <w:t>截止2023年12月31日，政府债务余额104.84亿元（一般债务26.71亿元、专项债务78.13亿元）。</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（二）再融资债券资金情况。</w:t>
      </w:r>
      <w:r>
        <w:rPr>
          <w:rFonts w:hint="eastAsia" w:ascii="仿宋" w:hAnsi="仿宋" w:eastAsia="仿宋" w:cs="仿宋"/>
          <w:color w:val="auto"/>
          <w:sz w:val="32"/>
          <w:szCs w:val="32"/>
          <w:lang w:val="en-US" w:eastAsia="zh-CN"/>
        </w:rPr>
        <w:t>发行再融资债券11.48亿元，其中：一般债券3.84亿元，专项债券7.64亿元。</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楷体" w:hAnsi="楷体" w:eastAsia="楷体" w:cs="楷体"/>
          <w:color w:val="auto"/>
          <w:sz w:val="32"/>
          <w:szCs w:val="32"/>
          <w:lang w:val="en-US" w:eastAsia="zh-CN"/>
        </w:rPr>
        <w:t>（三）地方政府债务偿还情况。</w:t>
      </w:r>
      <w:r>
        <w:rPr>
          <w:rFonts w:hint="eastAsia" w:ascii="仿宋" w:hAnsi="仿宋" w:eastAsia="仿宋" w:cs="仿宋"/>
          <w:color w:val="auto"/>
          <w:sz w:val="32"/>
          <w:szCs w:val="32"/>
          <w:lang w:val="en-US" w:eastAsia="zh-CN"/>
        </w:rPr>
        <w:t>2023年政府债务实际偿还本金9.83亿元，其中一般债务本金1.50</w:t>
      </w:r>
      <w:bookmarkStart w:id="0" w:name="_GoBack"/>
      <w:bookmarkEnd w:id="0"/>
      <w:r>
        <w:rPr>
          <w:rFonts w:hint="eastAsia" w:ascii="仿宋" w:hAnsi="仿宋" w:eastAsia="仿宋" w:cs="仿宋"/>
          <w:color w:val="auto"/>
          <w:sz w:val="32"/>
          <w:szCs w:val="32"/>
          <w:lang w:val="en-US" w:eastAsia="zh-CN"/>
        </w:rPr>
        <w:t>亿元，专项债务本金8.33亿元；实际支付利息3.51亿元，其中一般债务利息0.89亿元，专项债务利息2.62亿元。</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方正仿宋_GBK" w:cs="Times New Roman"/>
          <w:color w:val="auto"/>
          <w:kern w:val="2"/>
          <w:sz w:val="32"/>
          <w:szCs w:val="32"/>
          <w:lang w:val="en-US" w:eastAsia="zh-CN" w:bidi="ar-SA"/>
        </w:rPr>
      </w:pPr>
      <w:r>
        <w:rPr>
          <w:rFonts w:hint="eastAsia" w:ascii="楷体" w:hAnsi="楷体" w:eastAsia="楷体" w:cs="楷体"/>
          <w:color w:val="auto"/>
          <w:sz w:val="32"/>
          <w:szCs w:val="32"/>
          <w:lang w:val="en-US" w:eastAsia="zh-CN"/>
        </w:rPr>
        <w:t>（四）</w:t>
      </w:r>
      <w:r>
        <w:rPr>
          <w:rFonts w:hint="default" w:ascii="楷体" w:hAnsi="楷体" w:eastAsia="楷体" w:cs="楷体"/>
          <w:color w:val="auto"/>
          <w:sz w:val="32"/>
          <w:szCs w:val="32"/>
          <w:lang w:val="en-US" w:eastAsia="zh-CN"/>
        </w:rPr>
        <w:t>澄江市高度重视政府性债务管理工作，认真落实国家、省、市关于加强地方政府性债务管理工作的有关文件规定，依法依规管理地方政府债务，有针对性地采取切实有效的措施，规范政府举债行为，防范和化解政府债务风险，政府债务风险安全可控。</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1.建立健全债务风险管控机制。</w:t>
      </w:r>
      <w:r>
        <w:rPr>
          <w:rFonts w:hint="default" w:ascii="仿宋" w:hAnsi="仿宋" w:eastAsia="仿宋" w:cs="仿宋"/>
          <w:color w:val="auto"/>
          <w:sz w:val="32"/>
          <w:szCs w:val="32"/>
          <w:lang w:val="en-US" w:eastAsia="zh-CN"/>
        </w:rPr>
        <w:t>为进一步规范我市政府性债务管理，有效防范债务风险，促进全市经济持续健康发展、社会和谐稳定，成立了澄江市防范和化解政府债务专项工作领导小组、澄江市债务管理委员会、澄江市财政金融风险处置工作领导小组，加强对债务工作统一领导。制定了《澄江县人民政府办公室关于印发澄江县加强政府性债务管理实施方案的通知》（澄政办发〔2015〕151号）、《澄江县政府性债务风险应急处置预案》（澄政发〔2017〕57号）等一系列债务化解方案和措施。每年制定《债务化解方案》并严格执行，把防范化解政府债务风险作为一项重要的政治任务，落实主体责任，坚持“谁主管、谁负责，谁举借、谁偿还”的原则，按照“量力而行、尽力而为、风险可控”的要求，坚决遏制债务增量，稳妥化解债务存量，完成债务化解目标，牢牢守住不发生系统性债务风险的底线。</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w:t>
      </w:r>
      <w:r>
        <w:rPr>
          <w:rFonts w:hint="default" w:ascii="仿宋" w:hAnsi="仿宋" w:eastAsia="仿宋" w:cs="仿宋"/>
          <w:color w:val="auto"/>
          <w:sz w:val="32"/>
          <w:szCs w:val="32"/>
          <w:lang w:val="en-US" w:eastAsia="zh-CN"/>
        </w:rPr>
        <w:t>债务纳入预算管理。对地方政府债务实施限额管理，地方政府债务余额控制在玉溪市财政局下达的债务限额以内，对现有债务，根据偿债资金性质分别纳入一般公共预算和政府性基金预算管理，保证债券资金到期还本付息资金，规范债务资金管理和会计核算，进一步增强债务预算的科学性和完整性。</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w:t>
      </w:r>
      <w:r>
        <w:rPr>
          <w:rFonts w:hint="default" w:ascii="仿宋" w:hAnsi="仿宋" w:eastAsia="仿宋" w:cs="仿宋"/>
          <w:color w:val="auto"/>
          <w:sz w:val="32"/>
          <w:szCs w:val="32"/>
          <w:lang w:val="en-US" w:eastAsia="zh-CN"/>
        </w:rPr>
        <w:t>债务系统管理。法定债务全部纳入地方政府性债务管理系统，从项目录入、项目申报、项目发行、资金下达、资金使用、收益实现、偿还本息等全链条进行管理。</w:t>
      </w:r>
    </w:p>
    <w:p>
      <w:pPr>
        <w:keepNext w:val="0"/>
        <w:keepLines w:val="0"/>
        <w:pageBreakBefore w:val="0"/>
        <w:widowControl w:val="0"/>
        <w:kinsoku/>
        <w:overflowPunct/>
        <w:topLinePunct w:val="0"/>
        <w:autoSpaceDE/>
        <w:autoSpaceDN/>
        <w:bidi w:val="0"/>
        <w:adjustRightInd/>
        <w:snapToGrid/>
        <w:spacing w:line="590" w:lineRule="exact"/>
        <w:ind w:left="0" w:leftChars="0" w:right="0" w:rightChars="0" w:firstLine="640" w:firstLineChars="200"/>
        <w:textAlignment w:val="auto"/>
        <w:outlineLvl w:val="9"/>
        <w:rPr>
          <w:rFonts w:hint="default" w:ascii="Times New Roman" w:hAnsi="Times New Roman" w:eastAsia="方正仿宋_GBK" w:cs="Times New Roman"/>
          <w:color w:val="auto"/>
          <w:sz w:val="32"/>
          <w:szCs w:val="32"/>
        </w:rPr>
      </w:pPr>
      <w:r>
        <w:rPr>
          <w:rFonts w:hint="eastAsia" w:ascii="仿宋" w:hAnsi="仿宋" w:eastAsia="仿宋" w:cs="仿宋"/>
          <w:color w:val="auto"/>
          <w:sz w:val="32"/>
          <w:szCs w:val="32"/>
          <w:lang w:val="en-US" w:eastAsia="zh-CN"/>
        </w:rPr>
        <w:t>4.</w:t>
      </w:r>
      <w:r>
        <w:rPr>
          <w:rFonts w:hint="default" w:ascii="仿宋" w:hAnsi="仿宋" w:eastAsia="仿宋" w:cs="仿宋"/>
          <w:color w:val="auto"/>
          <w:sz w:val="32"/>
          <w:szCs w:val="32"/>
          <w:lang w:val="en-US" w:eastAsia="zh-CN"/>
        </w:rPr>
        <w:t>专项债券资金专户存储，并建立动态监控机制。新增发行的专项债券资金按照省、市要求，开设专项债券资金管理专户，并严格按照专户管理的要求存储专项债券资金。专项债券资金管理专户在项目存续期内保持稳定，专项债券资金到位后，用于项目建设支出。依托专项债券动态监控系统建立了专项债券资金动态监控工作机制，加强对地方政府债券资金全过程的监督管理，及时对债券资金流水进行确认，对于专项债券大额转账的行为，认真进行核实定期跟进项目进度，密切监控项目实施和资金使用全过程，确保债券资金安全、规范、高效使用，注重用好用足地方政府债券资金，充分发挥政府债务</w:t>
      </w:r>
      <w:r>
        <w:rPr>
          <w:rFonts w:hint="default" w:ascii="Times New Roman" w:hAnsi="Times New Roman" w:eastAsia="方正仿宋_GBK" w:cs="Times New Roman"/>
          <w:color w:val="auto"/>
          <w:sz w:val="32"/>
          <w:szCs w:val="32"/>
        </w:rPr>
        <w:t>对经济社会发展的支持作用。</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tabs>
          <w:tab w:val="left" w:pos="4830"/>
          <w:tab w:val="left" w:pos="8640"/>
        </w:tabs>
        <w:kinsoku/>
        <w:wordWrap/>
        <w:overflowPunct/>
        <w:topLinePunct w:val="0"/>
        <w:autoSpaceDE/>
        <w:autoSpaceDN/>
        <w:bidi w:val="0"/>
        <w:adjustRightInd w:val="0"/>
        <w:snapToGrid w:val="0"/>
        <w:spacing w:beforeAutospacing="0" w:afterAutospacing="0" w:line="590" w:lineRule="exact"/>
        <w:ind w:left="0" w:right="0" w:righ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六、绩效管理情况说明</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beforeAutospacing="0" w:afterAutospacing="0" w:line="590" w:lineRule="exact"/>
        <w:ind w:left="0" w:leftChars="0" w:right="0" w:rightChars="0" w:firstLine="640" w:firstLineChars="200"/>
        <w:textAlignment w:val="auto"/>
        <w:outlineLvl w:val="9"/>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为认真贯彻落实《中共云南省委、云南省人民政府关于全面实施预算绩效管理的实施意见》（云发〔2019〕11号）和《中共玉溪市委办公室、玉溪市人民政府办公室关于贯彻落实&lt;中共云南省委、云南省人民政府关于全面实施预算绩效管理的实施意见&gt;的通知》（玉办通〔2019〕23号）精神，结合实际制定了《澄江县全面实施预算绩效管理实施方案》（澄政办发〔2019〕120号）、</w:t>
      </w:r>
      <w:r>
        <w:rPr>
          <w:rFonts w:hint="default" w:ascii="仿宋" w:hAnsi="仿宋" w:eastAsia="仿宋" w:cs="仿宋"/>
          <w:color w:val="auto"/>
          <w:sz w:val="32"/>
          <w:szCs w:val="32"/>
          <w:lang w:val="en-US" w:eastAsia="zh-CN"/>
        </w:rPr>
        <w:t>《澄江市项目支出事前绩效评估管理办法（试行）的通知》</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澄财发〔2022〕39号</w:t>
      </w:r>
      <w:r>
        <w:rPr>
          <w:rFonts w:hint="eastAsia" w:ascii="仿宋" w:hAnsi="仿宋" w:eastAsia="仿宋" w:cs="仿宋"/>
          <w:color w:val="auto"/>
          <w:sz w:val="32"/>
          <w:szCs w:val="32"/>
          <w:lang w:val="en-US" w:eastAsia="zh-CN"/>
        </w:rPr>
        <w:t>），不断强化部门绩效管理理念，切实提高资金使用效益。2024年将持续优化财政支出结构，加强预算绩效管理结果应用，将结果作为项目安排预算的重要依据，进一步提升预算绩效管理整体效能。</w:t>
      </w:r>
    </w:p>
    <w:p>
      <w:pPr>
        <w:keepNext w:val="0"/>
        <w:keepLines w:val="0"/>
        <w:pageBreakBefore w:val="0"/>
        <w:widowControl w:val="0"/>
        <w:numPr>
          <w:ilvl w:val="0"/>
          <w:numId w:val="0"/>
        </w:numPr>
        <w:pBdr>
          <w:top w:val="none" w:color="auto" w:sz="0" w:space="0"/>
          <w:left w:val="none" w:color="auto" w:sz="0" w:space="0"/>
          <w:bottom w:val="none" w:color="FFFFFF" w:sz="0" w:space="31"/>
          <w:right w:val="none" w:color="auto" w:sz="0" w:space="0"/>
          <w:between w:val="none" w:color="auto" w:sz="0" w:space="0"/>
        </w:pBdr>
        <w:tabs>
          <w:tab w:val="left" w:pos="4830"/>
          <w:tab w:val="left" w:pos="8640"/>
        </w:tabs>
        <w:kinsoku/>
        <w:wordWrap/>
        <w:overflowPunct/>
        <w:topLinePunct w:val="0"/>
        <w:autoSpaceDE/>
        <w:autoSpaceDN/>
        <w:bidi w:val="0"/>
        <w:adjustRightInd w:val="0"/>
        <w:snapToGrid w:val="0"/>
        <w:spacing w:beforeAutospacing="0" w:afterAutospacing="0" w:line="590" w:lineRule="exact"/>
        <w:ind w:left="0" w:right="0" w:righ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七、</w:t>
      </w:r>
      <w:r>
        <w:rPr>
          <w:rFonts w:hint="eastAsia" w:ascii="黑体" w:hAnsi="黑体" w:eastAsia="黑体" w:cs="黑体"/>
          <w:color w:val="auto"/>
          <w:sz w:val="32"/>
          <w:szCs w:val="32"/>
        </w:rPr>
        <w:t>公开空表说明</w:t>
      </w:r>
    </w:p>
    <w:p>
      <w:pPr>
        <w:keepNext w:val="0"/>
        <w:keepLines w:val="0"/>
        <w:pageBreakBefore w:val="0"/>
        <w:widowControl w:val="0"/>
        <w:numPr>
          <w:ilvl w:val="0"/>
          <w:numId w:val="0"/>
        </w:numPr>
        <w:pBdr>
          <w:top w:val="none" w:color="auto" w:sz="0" w:space="0"/>
          <w:left w:val="none" w:color="auto" w:sz="0" w:space="0"/>
          <w:bottom w:val="none" w:color="FFFFFF" w:sz="0" w:space="31"/>
          <w:right w:val="none" w:color="auto" w:sz="0" w:space="0"/>
          <w:between w:val="none" w:color="auto" w:sz="0" w:space="0"/>
        </w:pBdr>
        <w:tabs>
          <w:tab w:val="left" w:pos="4830"/>
          <w:tab w:val="left" w:pos="8640"/>
        </w:tabs>
        <w:kinsoku/>
        <w:wordWrap/>
        <w:overflowPunct/>
        <w:topLinePunct w:val="0"/>
        <w:autoSpaceDE/>
        <w:autoSpaceDN/>
        <w:bidi w:val="0"/>
        <w:adjustRightInd w:val="0"/>
        <w:snapToGrid w:val="0"/>
        <w:spacing w:beforeAutospacing="0" w:afterAutospacing="0" w:line="590" w:lineRule="exact"/>
        <w:ind w:left="0" w:right="0" w:rightChars="0" w:firstLine="640" w:firstLineChars="200"/>
        <w:jc w:val="both"/>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因202</w:t>
      </w: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年无国有资本经营支出</w:t>
      </w:r>
      <w:r>
        <w:rPr>
          <w:rFonts w:hint="eastAsia" w:ascii="仿宋" w:hAnsi="仿宋" w:eastAsia="仿宋" w:cs="仿宋"/>
          <w:color w:val="auto"/>
          <w:sz w:val="32"/>
          <w:szCs w:val="32"/>
          <w:lang w:val="en-US" w:eastAsia="zh-CN"/>
        </w:rPr>
        <w:t>对下转移支付</w:t>
      </w:r>
      <w:r>
        <w:rPr>
          <w:rFonts w:hint="eastAsia" w:ascii="仿宋" w:hAnsi="仿宋" w:eastAsia="仿宋" w:cs="仿宋"/>
          <w:color w:val="auto"/>
          <w:sz w:val="32"/>
          <w:szCs w:val="32"/>
        </w:rPr>
        <w:t>，按照要求，国有资本经营</w:t>
      </w:r>
      <w:r>
        <w:rPr>
          <w:rFonts w:hint="eastAsia" w:ascii="仿宋" w:hAnsi="仿宋" w:eastAsia="仿宋" w:cs="仿宋"/>
          <w:color w:val="auto"/>
          <w:sz w:val="32"/>
          <w:szCs w:val="32"/>
          <w:lang w:val="en-US" w:eastAsia="zh-CN"/>
        </w:rPr>
        <w:t>预算转移支付表（分项目）</w:t>
      </w:r>
      <w:r>
        <w:rPr>
          <w:rFonts w:hint="eastAsia" w:ascii="仿宋" w:hAnsi="仿宋" w:eastAsia="仿宋" w:cs="仿宋"/>
          <w:color w:val="auto"/>
          <w:sz w:val="32"/>
          <w:szCs w:val="32"/>
        </w:rPr>
        <w:t>公开了空表。</w:t>
      </w:r>
    </w:p>
    <w:p>
      <w:pPr>
        <w:keepNext w:val="0"/>
        <w:keepLines w:val="0"/>
        <w:pageBreakBefore w:val="0"/>
        <w:widowControl w:val="0"/>
        <w:numPr>
          <w:ilvl w:val="0"/>
          <w:numId w:val="0"/>
        </w:numPr>
        <w:pBdr>
          <w:top w:val="none" w:color="auto" w:sz="0" w:space="0"/>
          <w:left w:val="none" w:color="auto" w:sz="0" w:space="0"/>
          <w:bottom w:val="none" w:color="FFFFFF" w:sz="0" w:space="31"/>
          <w:right w:val="none" w:color="auto" w:sz="0" w:space="0"/>
          <w:between w:val="none" w:color="auto" w:sz="0" w:space="0"/>
        </w:pBdr>
        <w:tabs>
          <w:tab w:val="left" w:pos="4830"/>
          <w:tab w:val="left" w:pos="8640"/>
        </w:tabs>
        <w:kinsoku/>
        <w:wordWrap/>
        <w:overflowPunct/>
        <w:topLinePunct w:val="0"/>
        <w:autoSpaceDE/>
        <w:autoSpaceDN/>
        <w:bidi w:val="0"/>
        <w:adjustRightInd w:val="0"/>
        <w:snapToGrid/>
        <w:spacing w:beforeAutospacing="0" w:afterAutospacing="0" w:line="590" w:lineRule="exact"/>
        <w:ind w:left="0" w:right="0" w:rightChars="0" w:firstLine="640" w:firstLineChars="200"/>
        <w:jc w:val="both"/>
        <w:textAlignment w:val="auto"/>
        <w:rPr>
          <w:rFonts w:eastAsia="方正仿宋_GBK"/>
          <w:b w:val="0"/>
          <w:bCs w:val="0"/>
          <w:color w:val="auto"/>
          <w:sz w:val="32"/>
          <w:szCs w:val="32"/>
        </w:rPr>
      </w:pPr>
      <w:r>
        <w:rPr>
          <w:rFonts w:hint="eastAsia" w:ascii="仿宋" w:hAnsi="仿宋" w:eastAsia="仿宋" w:cs="仿宋"/>
          <w:b w:val="0"/>
          <w:color w:val="auto"/>
          <w:kern w:val="2"/>
          <w:sz w:val="32"/>
          <w:szCs w:val="32"/>
          <w:lang w:val="en-US" w:eastAsia="zh-CN" w:bidi="ar-SA"/>
        </w:rPr>
        <w:t>2.因2024年无年初新增地方政府债券资金，按照要求，澄江市2024年年初新增地方政府债券资金安排表公开了空表。</w:t>
      </w:r>
    </w:p>
    <w:sectPr>
      <w:footerReference r:id="rId3" w:type="default"/>
      <w:footerReference r:id="rId4" w:type="even"/>
      <w:pgSz w:w="11906" w:h="16838"/>
      <w:pgMar w:top="1440" w:right="1274"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4D"/>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C3"/>
    <w:rsid w:val="000007B6"/>
    <w:rsid w:val="00002FFB"/>
    <w:rsid w:val="00007B28"/>
    <w:rsid w:val="00010989"/>
    <w:rsid w:val="00016EBD"/>
    <w:rsid w:val="0003522C"/>
    <w:rsid w:val="0005353E"/>
    <w:rsid w:val="00071A34"/>
    <w:rsid w:val="00087A34"/>
    <w:rsid w:val="000919C0"/>
    <w:rsid w:val="000A6914"/>
    <w:rsid w:val="000B3514"/>
    <w:rsid w:val="000C5B51"/>
    <w:rsid w:val="000C6976"/>
    <w:rsid w:val="000D2D5B"/>
    <w:rsid w:val="000D6853"/>
    <w:rsid w:val="000D7637"/>
    <w:rsid w:val="000F0603"/>
    <w:rsid w:val="000F1F0C"/>
    <w:rsid w:val="00103ABE"/>
    <w:rsid w:val="00106B4E"/>
    <w:rsid w:val="001313FE"/>
    <w:rsid w:val="001316C3"/>
    <w:rsid w:val="00141711"/>
    <w:rsid w:val="00147EF7"/>
    <w:rsid w:val="001537A4"/>
    <w:rsid w:val="0015472B"/>
    <w:rsid w:val="00161642"/>
    <w:rsid w:val="00165098"/>
    <w:rsid w:val="0017148D"/>
    <w:rsid w:val="001834B5"/>
    <w:rsid w:val="0018631D"/>
    <w:rsid w:val="00187ED3"/>
    <w:rsid w:val="001B4EEF"/>
    <w:rsid w:val="001B6DAE"/>
    <w:rsid w:val="001C12CB"/>
    <w:rsid w:val="001C6100"/>
    <w:rsid w:val="001D03BE"/>
    <w:rsid w:val="001D5A87"/>
    <w:rsid w:val="001D6862"/>
    <w:rsid w:val="001E0EC4"/>
    <w:rsid w:val="001E2032"/>
    <w:rsid w:val="002016AE"/>
    <w:rsid w:val="0020188B"/>
    <w:rsid w:val="00201EA0"/>
    <w:rsid w:val="00206D8D"/>
    <w:rsid w:val="00211AE5"/>
    <w:rsid w:val="00213DFF"/>
    <w:rsid w:val="002202B9"/>
    <w:rsid w:val="00223B6E"/>
    <w:rsid w:val="00232ACA"/>
    <w:rsid w:val="002351F2"/>
    <w:rsid w:val="00237389"/>
    <w:rsid w:val="0024003D"/>
    <w:rsid w:val="00246FE3"/>
    <w:rsid w:val="0025686E"/>
    <w:rsid w:val="0026030D"/>
    <w:rsid w:val="00281A77"/>
    <w:rsid w:val="002B28D8"/>
    <w:rsid w:val="002B3052"/>
    <w:rsid w:val="002B32E4"/>
    <w:rsid w:val="002B3FB8"/>
    <w:rsid w:val="002C07AF"/>
    <w:rsid w:val="002C251C"/>
    <w:rsid w:val="002E46F2"/>
    <w:rsid w:val="002F34C2"/>
    <w:rsid w:val="0030359B"/>
    <w:rsid w:val="003143F4"/>
    <w:rsid w:val="00324211"/>
    <w:rsid w:val="003327A8"/>
    <w:rsid w:val="003348F6"/>
    <w:rsid w:val="00337B2B"/>
    <w:rsid w:val="00342DF4"/>
    <w:rsid w:val="0034797A"/>
    <w:rsid w:val="0035399A"/>
    <w:rsid w:val="00367CFD"/>
    <w:rsid w:val="00372C56"/>
    <w:rsid w:val="00380999"/>
    <w:rsid w:val="00381BDD"/>
    <w:rsid w:val="003823A3"/>
    <w:rsid w:val="00384614"/>
    <w:rsid w:val="003A20B0"/>
    <w:rsid w:val="003B26DB"/>
    <w:rsid w:val="003B36D5"/>
    <w:rsid w:val="003C1911"/>
    <w:rsid w:val="003C2156"/>
    <w:rsid w:val="003C2D57"/>
    <w:rsid w:val="003D2907"/>
    <w:rsid w:val="003E5ECF"/>
    <w:rsid w:val="003F79BB"/>
    <w:rsid w:val="0040473D"/>
    <w:rsid w:val="00414B42"/>
    <w:rsid w:val="004205F5"/>
    <w:rsid w:val="00434603"/>
    <w:rsid w:val="004459E6"/>
    <w:rsid w:val="00447E67"/>
    <w:rsid w:val="004730DD"/>
    <w:rsid w:val="00473DA2"/>
    <w:rsid w:val="004B6B1A"/>
    <w:rsid w:val="004C4D04"/>
    <w:rsid w:val="004D0813"/>
    <w:rsid w:val="004D4213"/>
    <w:rsid w:val="004D5C87"/>
    <w:rsid w:val="004E6959"/>
    <w:rsid w:val="004F7195"/>
    <w:rsid w:val="004F76B1"/>
    <w:rsid w:val="00520640"/>
    <w:rsid w:val="005242E7"/>
    <w:rsid w:val="00554CC5"/>
    <w:rsid w:val="00567389"/>
    <w:rsid w:val="00581699"/>
    <w:rsid w:val="00586151"/>
    <w:rsid w:val="00595544"/>
    <w:rsid w:val="005A0F0D"/>
    <w:rsid w:val="005B16F7"/>
    <w:rsid w:val="005C2AFA"/>
    <w:rsid w:val="005C3212"/>
    <w:rsid w:val="005C7238"/>
    <w:rsid w:val="005D2B76"/>
    <w:rsid w:val="005D4DAB"/>
    <w:rsid w:val="005D591F"/>
    <w:rsid w:val="005E36E1"/>
    <w:rsid w:val="005E3A3C"/>
    <w:rsid w:val="006050B2"/>
    <w:rsid w:val="00614019"/>
    <w:rsid w:val="006156A5"/>
    <w:rsid w:val="00640FDA"/>
    <w:rsid w:val="00643093"/>
    <w:rsid w:val="006452F7"/>
    <w:rsid w:val="006605D4"/>
    <w:rsid w:val="006719E5"/>
    <w:rsid w:val="0067567F"/>
    <w:rsid w:val="00687620"/>
    <w:rsid w:val="00694E03"/>
    <w:rsid w:val="006A0B25"/>
    <w:rsid w:val="006A1662"/>
    <w:rsid w:val="006B4B42"/>
    <w:rsid w:val="006C539D"/>
    <w:rsid w:val="006D6F2D"/>
    <w:rsid w:val="006F226C"/>
    <w:rsid w:val="006F65A3"/>
    <w:rsid w:val="0071230B"/>
    <w:rsid w:val="00714994"/>
    <w:rsid w:val="00714E9E"/>
    <w:rsid w:val="007170A4"/>
    <w:rsid w:val="0071720C"/>
    <w:rsid w:val="00740C4F"/>
    <w:rsid w:val="00741137"/>
    <w:rsid w:val="007534A9"/>
    <w:rsid w:val="00753AD6"/>
    <w:rsid w:val="00761FED"/>
    <w:rsid w:val="00781648"/>
    <w:rsid w:val="00781668"/>
    <w:rsid w:val="007A7782"/>
    <w:rsid w:val="007C4E51"/>
    <w:rsid w:val="007D32B3"/>
    <w:rsid w:val="007D3661"/>
    <w:rsid w:val="007D4898"/>
    <w:rsid w:val="007F02AA"/>
    <w:rsid w:val="008164BF"/>
    <w:rsid w:val="00817658"/>
    <w:rsid w:val="008256F9"/>
    <w:rsid w:val="00826BCB"/>
    <w:rsid w:val="008327F1"/>
    <w:rsid w:val="00835BD3"/>
    <w:rsid w:val="00856BC4"/>
    <w:rsid w:val="008639FD"/>
    <w:rsid w:val="00864AE1"/>
    <w:rsid w:val="0089766E"/>
    <w:rsid w:val="008A48FC"/>
    <w:rsid w:val="008C09CF"/>
    <w:rsid w:val="008D2F4C"/>
    <w:rsid w:val="008E689F"/>
    <w:rsid w:val="008F7B11"/>
    <w:rsid w:val="0090090C"/>
    <w:rsid w:val="00905E21"/>
    <w:rsid w:val="00910D9E"/>
    <w:rsid w:val="009175E4"/>
    <w:rsid w:val="0091778A"/>
    <w:rsid w:val="009235DB"/>
    <w:rsid w:val="00926016"/>
    <w:rsid w:val="0094188B"/>
    <w:rsid w:val="00945181"/>
    <w:rsid w:val="00946165"/>
    <w:rsid w:val="00951AF5"/>
    <w:rsid w:val="009525CE"/>
    <w:rsid w:val="009626BB"/>
    <w:rsid w:val="00962A3E"/>
    <w:rsid w:val="00995BD2"/>
    <w:rsid w:val="009A2745"/>
    <w:rsid w:val="009A4A5D"/>
    <w:rsid w:val="009A75F1"/>
    <w:rsid w:val="009C2F98"/>
    <w:rsid w:val="009D2A3A"/>
    <w:rsid w:val="009D2BF0"/>
    <w:rsid w:val="009E09D2"/>
    <w:rsid w:val="009E7B6C"/>
    <w:rsid w:val="009F13B2"/>
    <w:rsid w:val="009F4F2A"/>
    <w:rsid w:val="00A17CA2"/>
    <w:rsid w:val="00A230E9"/>
    <w:rsid w:val="00A45BC9"/>
    <w:rsid w:val="00A541FF"/>
    <w:rsid w:val="00A745D4"/>
    <w:rsid w:val="00A84796"/>
    <w:rsid w:val="00A856CE"/>
    <w:rsid w:val="00A95D88"/>
    <w:rsid w:val="00AA6E2C"/>
    <w:rsid w:val="00AD4CA0"/>
    <w:rsid w:val="00AD594C"/>
    <w:rsid w:val="00AE0485"/>
    <w:rsid w:val="00AE08F3"/>
    <w:rsid w:val="00AE2B76"/>
    <w:rsid w:val="00B109D7"/>
    <w:rsid w:val="00B11D9D"/>
    <w:rsid w:val="00B326E4"/>
    <w:rsid w:val="00B32A41"/>
    <w:rsid w:val="00B345F9"/>
    <w:rsid w:val="00B44232"/>
    <w:rsid w:val="00B50791"/>
    <w:rsid w:val="00B52364"/>
    <w:rsid w:val="00B53A90"/>
    <w:rsid w:val="00B63DA4"/>
    <w:rsid w:val="00B64A3F"/>
    <w:rsid w:val="00B67168"/>
    <w:rsid w:val="00B77130"/>
    <w:rsid w:val="00BA11BB"/>
    <w:rsid w:val="00BA6DE6"/>
    <w:rsid w:val="00BB7AD9"/>
    <w:rsid w:val="00BC60C5"/>
    <w:rsid w:val="00BD5DC8"/>
    <w:rsid w:val="00BF7116"/>
    <w:rsid w:val="00C02508"/>
    <w:rsid w:val="00C06166"/>
    <w:rsid w:val="00C07676"/>
    <w:rsid w:val="00C121AB"/>
    <w:rsid w:val="00C26FB1"/>
    <w:rsid w:val="00C300F8"/>
    <w:rsid w:val="00C47BAA"/>
    <w:rsid w:val="00C57EBA"/>
    <w:rsid w:val="00C710A3"/>
    <w:rsid w:val="00C80AEC"/>
    <w:rsid w:val="00C8710F"/>
    <w:rsid w:val="00C933CB"/>
    <w:rsid w:val="00CA22A3"/>
    <w:rsid w:val="00CA49DB"/>
    <w:rsid w:val="00CC0CE5"/>
    <w:rsid w:val="00CC2AF7"/>
    <w:rsid w:val="00CC7DE2"/>
    <w:rsid w:val="00CD2019"/>
    <w:rsid w:val="00CD5C02"/>
    <w:rsid w:val="00CD7695"/>
    <w:rsid w:val="00D1296F"/>
    <w:rsid w:val="00D21593"/>
    <w:rsid w:val="00D22A35"/>
    <w:rsid w:val="00D26757"/>
    <w:rsid w:val="00D328FF"/>
    <w:rsid w:val="00D33B15"/>
    <w:rsid w:val="00D434B6"/>
    <w:rsid w:val="00D505EA"/>
    <w:rsid w:val="00D5216B"/>
    <w:rsid w:val="00D72F80"/>
    <w:rsid w:val="00D74A29"/>
    <w:rsid w:val="00D96293"/>
    <w:rsid w:val="00D97F0A"/>
    <w:rsid w:val="00DA117E"/>
    <w:rsid w:val="00DA232B"/>
    <w:rsid w:val="00DA6DC3"/>
    <w:rsid w:val="00DB0DBC"/>
    <w:rsid w:val="00DB6C4A"/>
    <w:rsid w:val="00DC5272"/>
    <w:rsid w:val="00DF4B64"/>
    <w:rsid w:val="00E0395D"/>
    <w:rsid w:val="00E06EFB"/>
    <w:rsid w:val="00E12945"/>
    <w:rsid w:val="00E62D77"/>
    <w:rsid w:val="00E70AC9"/>
    <w:rsid w:val="00E84A19"/>
    <w:rsid w:val="00E928FE"/>
    <w:rsid w:val="00EC7DDB"/>
    <w:rsid w:val="00EF32A7"/>
    <w:rsid w:val="00EF36C0"/>
    <w:rsid w:val="00F10170"/>
    <w:rsid w:val="00F12DEF"/>
    <w:rsid w:val="00F4676B"/>
    <w:rsid w:val="00F547B1"/>
    <w:rsid w:val="00F57B36"/>
    <w:rsid w:val="00F70E5E"/>
    <w:rsid w:val="00F84D13"/>
    <w:rsid w:val="00F903FD"/>
    <w:rsid w:val="00F94981"/>
    <w:rsid w:val="00F9710F"/>
    <w:rsid w:val="00FA465F"/>
    <w:rsid w:val="00FB080F"/>
    <w:rsid w:val="00FB10F7"/>
    <w:rsid w:val="00FB5335"/>
    <w:rsid w:val="00FB570D"/>
    <w:rsid w:val="00FB6E1D"/>
    <w:rsid w:val="00FB7EF7"/>
    <w:rsid w:val="00FC2756"/>
    <w:rsid w:val="00FC5694"/>
    <w:rsid w:val="00FD3A99"/>
    <w:rsid w:val="00FD4BEF"/>
    <w:rsid w:val="00FD4F35"/>
    <w:rsid w:val="00FE1E21"/>
    <w:rsid w:val="00FE41A2"/>
    <w:rsid w:val="00FE6D76"/>
    <w:rsid w:val="00FF0F8F"/>
    <w:rsid w:val="00FF46FB"/>
    <w:rsid w:val="0479157A"/>
    <w:rsid w:val="050156E5"/>
    <w:rsid w:val="057C2F4A"/>
    <w:rsid w:val="06101281"/>
    <w:rsid w:val="08103B4C"/>
    <w:rsid w:val="082627E3"/>
    <w:rsid w:val="085262BC"/>
    <w:rsid w:val="0AA148A7"/>
    <w:rsid w:val="0BEE7B43"/>
    <w:rsid w:val="0C953A69"/>
    <w:rsid w:val="0D1561C5"/>
    <w:rsid w:val="0F922668"/>
    <w:rsid w:val="11D542D0"/>
    <w:rsid w:val="11E24F73"/>
    <w:rsid w:val="12C5296B"/>
    <w:rsid w:val="12E96565"/>
    <w:rsid w:val="14774636"/>
    <w:rsid w:val="14C16A86"/>
    <w:rsid w:val="15FD57D8"/>
    <w:rsid w:val="170B78CB"/>
    <w:rsid w:val="17A0309C"/>
    <w:rsid w:val="1AE36F33"/>
    <w:rsid w:val="1AE41282"/>
    <w:rsid w:val="1B7D0771"/>
    <w:rsid w:val="1C0A60E2"/>
    <w:rsid w:val="1C7E014A"/>
    <w:rsid w:val="1DCB1F2F"/>
    <w:rsid w:val="1E0E51C9"/>
    <w:rsid w:val="1EDA0F15"/>
    <w:rsid w:val="1EE8524D"/>
    <w:rsid w:val="1F682F86"/>
    <w:rsid w:val="1F910B79"/>
    <w:rsid w:val="2018462C"/>
    <w:rsid w:val="21F94AA7"/>
    <w:rsid w:val="21FA0904"/>
    <w:rsid w:val="2293576C"/>
    <w:rsid w:val="238739BF"/>
    <w:rsid w:val="238F0987"/>
    <w:rsid w:val="24DF3B33"/>
    <w:rsid w:val="24E262BF"/>
    <w:rsid w:val="25724059"/>
    <w:rsid w:val="25F57D66"/>
    <w:rsid w:val="27342781"/>
    <w:rsid w:val="27C72F14"/>
    <w:rsid w:val="27CB55C0"/>
    <w:rsid w:val="29690925"/>
    <w:rsid w:val="2A694BFF"/>
    <w:rsid w:val="2BCC4443"/>
    <w:rsid w:val="2CD833A6"/>
    <w:rsid w:val="2D0678CB"/>
    <w:rsid w:val="2D483F7C"/>
    <w:rsid w:val="2D5B35D1"/>
    <w:rsid w:val="2D67075A"/>
    <w:rsid w:val="2DF07123"/>
    <w:rsid w:val="2E6C058D"/>
    <w:rsid w:val="2E7B6306"/>
    <w:rsid w:val="2EFE1FF5"/>
    <w:rsid w:val="300F3132"/>
    <w:rsid w:val="332609B6"/>
    <w:rsid w:val="347569A1"/>
    <w:rsid w:val="35072BA3"/>
    <w:rsid w:val="3560761A"/>
    <w:rsid w:val="35CC0CFD"/>
    <w:rsid w:val="37A7037B"/>
    <w:rsid w:val="37D644D3"/>
    <w:rsid w:val="39316EF2"/>
    <w:rsid w:val="39D94C5C"/>
    <w:rsid w:val="39DB3714"/>
    <w:rsid w:val="3B105815"/>
    <w:rsid w:val="3B3E2837"/>
    <w:rsid w:val="3B7705A1"/>
    <w:rsid w:val="3C7C3B69"/>
    <w:rsid w:val="3CDD6FC2"/>
    <w:rsid w:val="3D0A0859"/>
    <w:rsid w:val="3D0C3C02"/>
    <w:rsid w:val="3F660EBF"/>
    <w:rsid w:val="400F18C4"/>
    <w:rsid w:val="416D2952"/>
    <w:rsid w:val="42E46F2B"/>
    <w:rsid w:val="43462CCE"/>
    <w:rsid w:val="43716136"/>
    <w:rsid w:val="441F671B"/>
    <w:rsid w:val="47846DA7"/>
    <w:rsid w:val="47A97F42"/>
    <w:rsid w:val="4A4145FB"/>
    <w:rsid w:val="4A870B8B"/>
    <w:rsid w:val="4AD6544D"/>
    <w:rsid w:val="4B670818"/>
    <w:rsid w:val="4C7514A5"/>
    <w:rsid w:val="4C945336"/>
    <w:rsid w:val="4D246343"/>
    <w:rsid w:val="4E013F0F"/>
    <w:rsid w:val="4E20305C"/>
    <w:rsid w:val="4E9E4AA2"/>
    <w:rsid w:val="50F16A41"/>
    <w:rsid w:val="54950743"/>
    <w:rsid w:val="56356662"/>
    <w:rsid w:val="570C5893"/>
    <w:rsid w:val="577C5AE9"/>
    <w:rsid w:val="58005364"/>
    <w:rsid w:val="58263B70"/>
    <w:rsid w:val="58AF2E1A"/>
    <w:rsid w:val="593B039A"/>
    <w:rsid w:val="5AEC301A"/>
    <w:rsid w:val="5C974FC8"/>
    <w:rsid w:val="5EB7263F"/>
    <w:rsid w:val="60FB7CF8"/>
    <w:rsid w:val="6107394E"/>
    <w:rsid w:val="614F0ADC"/>
    <w:rsid w:val="63882C34"/>
    <w:rsid w:val="640B61F6"/>
    <w:rsid w:val="64DA3AB3"/>
    <w:rsid w:val="65194438"/>
    <w:rsid w:val="652E2043"/>
    <w:rsid w:val="65B43052"/>
    <w:rsid w:val="66114843"/>
    <w:rsid w:val="664E7B9B"/>
    <w:rsid w:val="673678B7"/>
    <w:rsid w:val="682056AD"/>
    <w:rsid w:val="687876D3"/>
    <w:rsid w:val="6C747283"/>
    <w:rsid w:val="6C8A36B9"/>
    <w:rsid w:val="6D042A93"/>
    <w:rsid w:val="72C11EED"/>
    <w:rsid w:val="74D5146A"/>
    <w:rsid w:val="74E17236"/>
    <w:rsid w:val="75054F92"/>
    <w:rsid w:val="750B09CA"/>
    <w:rsid w:val="77046D45"/>
    <w:rsid w:val="79327D73"/>
    <w:rsid w:val="7A1E29B2"/>
    <w:rsid w:val="7AB17604"/>
    <w:rsid w:val="7BF93990"/>
    <w:rsid w:val="7CAD27FF"/>
    <w:rsid w:val="7D0E0279"/>
    <w:rsid w:val="7EE32BD9"/>
    <w:rsid w:val="7EF2497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spacing w:beforeAutospacing="1" w:afterAutospacing="1"/>
      <w:jc w:val="left"/>
      <w:outlineLvl w:val="2"/>
    </w:pPr>
    <w:rPr>
      <w:rFonts w:ascii="宋体" w:hAnsi="宋体"/>
      <w:b/>
      <w:kern w:val="0"/>
      <w:sz w:val="27"/>
      <w:szCs w:val="27"/>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Indent"/>
    <w:basedOn w:val="1"/>
    <w:next w:val="1"/>
    <w:qFormat/>
    <w:uiPriority w:val="0"/>
    <w:pPr>
      <w:snapToGrid w:val="0"/>
      <w:spacing w:line="300" w:lineRule="auto"/>
      <w:ind w:firstLine="556"/>
    </w:pPr>
    <w:rPr>
      <w:rFonts w:ascii="仿宋_GB2312" w:hAnsi="Times New Roman" w:eastAsia="仿宋_GB2312"/>
      <w:kern w:val="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List Paragraph1"/>
    <w:basedOn w:val="1"/>
    <w:qFormat/>
    <w:uiPriority w:val="0"/>
    <w:pPr>
      <w:ind w:firstLine="200" w:firstLineChars="200"/>
    </w:pPr>
    <w:rPr>
      <w:rFonts w:ascii="Calibri" w:hAnsi="Calibri" w:cs="Arial"/>
      <w:szCs w:val="21"/>
    </w:rPr>
  </w:style>
  <w:style w:type="character" w:customStyle="1" w:styleId="10">
    <w:name w:val="页眉 Char"/>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微软用户</Company>
  <Pages>6</Pages>
  <Words>516</Words>
  <Characters>2947</Characters>
  <Lines>24</Lines>
  <Paragraphs>6</Paragraphs>
  <TotalTime>5</TotalTime>
  <ScaleCrop>false</ScaleCrop>
  <LinksUpToDate>false</LinksUpToDate>
  <CharactersWithSpaces>3457</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2017-01-12T02:14:00Z</dcterms:created>
  <dc:creator>吴承峰</dc:creator>
  <cp:lastModifiedBy>殷妹</cp:lastModifiedBy>
  <cp:lastPrinted>2015-01-29T01:53:00Z</cp:lastPrinted>
  <dcterms:modified xsi:type="dcterms:W3CDTF">2024-02-04T03:20:26Z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