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7597C8">
      <w:pPr>
        <w:keepNext w:val="0"/>
        <w:keepLines w:val="0"/>
        <w:pageBreakBefore w:val="0"/>
        <w:widowControl w:val="0"/>
        <w:kinsoku/>
        <w:wordWrap/>
        <w:overflowPunct/>
        <w:topLinePunct w:val="0"/>
        <w:autoSpaceDE/>
        <w:autoSpaceDN/>
        <w:bidi w:val="0"/>
        <w:adjustRightInd/>
        <w:snapToGrid w:val="0"/>
        <w:spacing w:line="590" w:lineRule="exact"/>
        <w:jc w:val="center"/>
        <w:textAlignment w:val="auto"/>
        <w:rPr>
          <w:rFonts w:ascii="Times New Roman" w:hAnsi="Times New Roman" w:eastAsia="方正小标宋_GBK" w:cs="方正小标宋_GBK"/>
          <w:sz w:val="44"/>
          <w:szCs w:val="44"/>
        </w:rPr>
      </w:pPr>
    </w:p>
    <w:p w14:paraId="3D39F8EC">
      <w:pPr>
        <w:keepNext w:val="0"/>
        <w:keepLines w:val="0"/>
        <w:pageBreakBefore w:val="0"/>
        <w:widowControl w:val="0"/>
        <w:kinsoku/>
        <w:wordWrap/>
        <w:overflowPunct/>
        <w:topLinePunct w:val="0"/>
        <w:autoSpaceDE/>
        <w:autoSpaceDN/>
        <w:bidi w:val="0"/>
        <w:adjustRightInd/>
        <w:snapToGrid w:val="0"/>
        <w:spacing w:line="590" w:lineRule="exact"/>
        <w:jc w:val="center"/>
        <w:textAlignment w:val="auto"/>
        <w:rPr>
          <w:rFonts w:hint="eastAsia" w:ascii="Times New Roman" w:hAnsi="Times New Roman" w:eastAsia="方正小标宋简体" w:cs="方正小标宋简体"/>
          <w:spacing w:val="14"/>
          <w:sz w:val="44"/>
          <w:szCs w:val="44"/>
        </w:rPr>
      </w:pPr>
      <w:r>
        <w:rPr>
          <w:rFonts w:hint="eastAsia" w:ascii="Times New Roman" w:hAnsi="Times New Roman" w:eastAsia="方正小标宋简体" w:cs="方正小标宋简体"/>
          <w:sz w:val="44"/>
          <w:szCs w:val="44"/>
        </w:rPr>
        <w:t>玉溪市生态环境局新平分局202</w:t>
      </w:r>
      <w:r>
        <w:rPr>
          <w:rFonts w:hint="eastAsia" w:ascii="Times New Roman" w:hAnsi="Times New Roman" w:eastAsia="方正小标宋简体" w:cs="方正小标宋简体"/>
          <w:sz w:val="44"/>
          <w:szCs w:val="44"/>
          <w:lang w:val="en-US" w:eastAsia="zh-CN"/>
        </w:rPr>
        <w:t>5</w:t>
      </w:r>
      <w:r>
        <w:rPr>
          <w:rFonts w:hint="eastAsia" w:ascii="Times New Roman" w:hAnsi="Times New Roman" w:eastAsia="方正小标宋简体" w:cs="方正小标宋简体"/>
          <w:sz w:val="44"/>
          <w:szCs w:val="44"/>
        </w:rPr>
        <w:t>年</w:t>
      </w:r>
      <w:r>
        <w:rPr>
          <w:rFonts w:hint="eastAsia" w:ascii="Times New Roman" w:hAnsi="Times New Roman" w:eastAsia="方正小标宋简体" w:cs="方正小标宋简体"/>
          <w:spacing w:val="14"/>
          <w:sz w:val="44"/>
          <w:szCs w:val="44"/>
        </w:rPr>
        <w:t>预算重点领域财政项目文本公开</w:t>
      </w:r>
    </w:p>
    <w:p w14:paraId="70606458">
      <w:pPr>
        <w:pStyle w:val="3"/>
        <w:keepNext w:val="0"/>
        <w:keepLines w:val="0"/>
        <w:pageBreakBefore w:val="0"/>
        <w:widowControl w:val="0"/>
        <w:kinsoku/>
        <w:wordWrap/>
        <w:overflowPunct/>
        <w:topLinePunct w:val="0"/>
        <w:autoSpaceDE/>
        <w:autoSpaceDN/>
        <w:bidi w:val="0"/>
        <w:adjustRightInd/>
        <w:snapToGrid w:val="0"/>
        <w:spacing w:line="590" w:lineRule="exact"/>
        <w:ind w:firstLine="0" w:firstLineChars="0"/>
        <w:textAlignment w:val="auto"/>
        <w:rPr>
          <w:rFonts w:ascii="Times New Roman" w:hAnsi="Times New Roman" w:eastAsia="方正黑体_GBK" w:cs="方正黑体_GBK"/>
          <w:sz w:val="32"/>
          <w:szCs w:val="32"/>
        </w:rPr>
      </w:pPr>
    </w:p>
    <w:p w14:paraId="36BC89C4">
      <w:pPr>
        <w:pStyle w:val="3"/>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一、项目名称</w:t>
      </w:r>
    </w:p>
    <w:p w14:paraId="52F40563">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rPr>
        <w:t>执法办案补助经费项目</w:t>
      </w:r>
      <w:r>
        <w:rPr>
          <w:rFonts w:hint="eastAsia" w:ascii="Times New Roman" w:hAnsi="Times New Roman" w:eastAsia="仿宋_GB2312" w:cs="仿宋_GB2312"/>
          <w:sz w:val="32"/>
          <w:szCs w:val="32"/>
          <w:lang w:eastAsia="zh-CN"/>
        </w:rPr>
        <w:t>。</w:t>
      </w:r>
    </w:p>
    <w:p w14:paraId="6275946F">
      <w:pPr>
        <w:pStyle w:val="3"/>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二、立项依据</w:t>
      </w:r>
    </w:p>
    <w:p w14:paraId="367080B6">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《国务院办公厅关于加强环境监管执法的通知》（国办发〔2014〕56 号）明确要加快解决环境监管执法队伍基础差、能力弱等问题。加强环境监察队伍和能力建设，为推进环境监管执法工作提供有力支撑。健全环境监管执法经费保障机制，将环境监管执法经费纳入同级财政全额保障范围。</w:t>
      </w:r>
    </w:p>
    <w:p w14:paraId="46A498A3">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default" w:ascii="Times New Roman" w:hAnsi="Times New Roman" w:eastAsia="仿宋_GB2312" w:cs="仿宋_GB2312"/>
          <w:sz w:val="32"/>
          <w:szCs w:val="32"/>
        </w:rPr>
      </w:pPr>
      <w:r>
        <w:rPr>
          <w:rFonts w:hint="eastAsia" w:ascii="Times New Roman" w:hAnsi="Times New Roman" w:eastAsia="仿宋_GB2312" w:cs="仿宋_GB2312"/>
          <w:sz w:val="32"/>
          <w:szCs w:val="32"/>
        </w:rPr>
        <w:t>《云南省人民政府办公厅关于加强环境监管执法的实施意见》（云政办发〔2014〕56 号）明确各地要加大财政投入，强化环境监察执法、监测能力保障。健全环境监管执法经费保障机制，将环境监管执法经费纳入同级财政全额保障范围。</w:t>
      </w:r>
    </w:p>
    <w:p w14:paraId="7BDC8240">
      <w:pPr>
        <w:pStyle w:val="3"/>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三、项目实施单位</w:t>
      </w:r>
    </w:p>
    <w:p w14:paraId="402B34AD">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rPr>
        <w:t>新平彝族傣族自治县生态环境保护综合行政执法大队</w:t>
      </w:r>
      <w:r>
        <w:rPr>
          <w:rFonts w:hint="eastAsia" w:ascii="Times New Roman" w:hAnsi="Times New Roman" w:eastAsia="仿宋_GB2312" w:cs="仿宋_GB2312"/>
          <w:sz w:val="32"/>
          <w:szCs w:val="32"/>
          <w:lang w:eastAsia="zh-CN"/>
        </w:rPr>
        <w:t>。</w:t>
      </w:r>
    </w:p>
    <w:p w14:paraId="1C385AEF">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kern w:val="0"/>
          <w:sz w:val="32"/>
          <w:szCs w:val="32"/>
        </w:rPr>
      </w:pPr>
      <w:r>
        <w:rPr>
          <w:rFonts w:hint="eastAsia" w:ascii="Times New Roman" w:hAnsi="Times New Roman" w:eastAsia="黑体" w:cs="黑体"/>
          <w:kern w:val="0"/>
          <w:sz w:val="32"/>
          <w:szCs w:val="32"/>
        </w:rPr>
        <w:t>四、项目基本概况</w:t>
      </w:r>
    </w:p>
    <w:p w14:paraId="415356BE">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新平县生态环境保护综合行政执法大队的非税收入主要为生态环境罚没收入（依法对辖区内单位或个人执行环境保护</w:t>
      </w:r>
      <w:r>
        <w:rPr>
          <w:rFonts w:hint="eastAsia" w:ascii="Times New Roman" w:hAnsi="Times New Roman" w:eastAsia="仿宋_GB2312" w:cs="仿宋_GB2312"/>
          <w:sz w:val="32"/>
          <w:szCs w:val="32"/>
          <w:shd w:val="clear" w:fill="FFFFFF"/>
          <w:lang w:eastAsia="zh-CN"/>
        </w:rPr>
        <w:t>法律法规</w:t>
      </w:r>
      <w:r>
        <w:rPr>
          <w:rFonts w:hint="eastAsia" w:ascii="Times New Roman" w:hAnsi="Times New Roman" w:eastAsia="仿宋_GB2312" w:cs="仿宋_GB2312"/>
          <w:sz w:val="32"/>
          <w:szCs w:val="32"/>
        </w:rPr>
        <w:t>的情况进行现场监督、检查，并按规定进行处罚）。罚没收入的</w:t>
      </w:r>
      <w:r>
        <w:rPr>
          <w:rFonts w:hint="eastAsia" w:ascii="Times New Roman" w:hAnsi="Times New Roman" w:eastAsia="仿宋_GB2312" w:cs="仿宋_GB2312"/>
          <w:sz w:val="32"/>
          <w:szCs w:val="32"/>
          <w:lang w:val="en-US" w:eastAsia="zh-CN"/>
        </w:rPr>
        <w:t>4</w:t>
      </w:r>
      <w:r>
        <w:rPr>
          <w:rFonts w:hint="eastAsia" w:ascii="Times New Roman" w:hAnsi="Times New Roman" w:eastAsia="仿宋_GB2312" w:cs="仿宋_GB2312"/>
          <w:sz w:val="32"/>
          <w:szCs w:val="32"/>
        </w:rPr>
        <w:t>0</w:t>
      </w:r>
      <w:r>
        <w:rPr>
          <w:rFonts w:hint="eastAsia" w:ascii="Times New Roman" w:hAnsi="Times New Roman" w:eastAsia="仿宋_GB2312" w:cs="仿宋_GB2312"/>
          <w:sz w:val="32"/>
          <w:szCs w:val="32"/>
          <w:lang w:val="en-US" w:eastAsia="zh-CN"/>
        </w:rPr>
        <w:t>.00</w:t>
      </w:r>
      <w:r>
        <w:rPr>
          <w:rFonts w:hint="eastAsia" w:ascii="Times New Roman" w:hAnsi="Times New Roman" w:eastAsia="仿宋_GB2312" w:cs="仿宋_GB2312"/>
          <w:sz w:val="32"/>
          <w:szCs w:val="32"/>
        </w:rPr>
        <w:t>%用于执法办案业务支出，保障执法办案正常开展。</w:t>
      </w:r>
    </w:p>
    <w:p w14:paraId="6D97318A">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val="en-US" w:eastAsia="zh-CN"/>
        </w:rPr>
        <w:t>新平县</w:t>
      </w:r>
      <w:r>
        <w:rPr>
          <w:rFonts w:hint="eastAsia" w:ascii="Times New Roman" w:hAnsi="Times New Roman" w:eastAsia="仿宋_GB2312" w:cs="仿宋_GB2312"/>
          <w:sz w:val="32"/>
          <w:szCs w:val="32"/>
        </w:rPr>
        <w:t>生态环境保护综合行政执法大队隶属玉溪市生态环境局新平分局的参公管理事业单位，负责县域内对环境保护</w:t>
      </w:r>
      <w:r>
        <w:rPr>
          <w:rFonts w:hint="eastAsia" w:ascii="Times New Roman" w:hAnsi="Times New Roman" w:eastAsia="仿宋_GB2312" w:cs="仿宋_GB2312"/>
          <w:sz w:val="32"/>
          <w:szCs w:val="32"/>
          <w:shd w:val="clear" w:fill="FFFFFF"/>
          <w:lang w:eastAsia="zh-CN"/>
        </w:rPr>
        <w:t>法律法规</w:t>
      </w:r>
      <w:r>
        <w:rPr>
          <w:rFonts w:hint="eastAsia" w:ascii="Times New Roman" w:hAnsi="Times New Roman" w:eastAsia="仿宋_GB2312" w:cs="仿宋_GB2312"/>
          <w:sz w:val="32"/>
          <w:szCs w:val="32"/>
        </w:rPr>
        <w:t>、规章的执行情况进行现场检查；负责对污染源的污染物排放情况、污染防治设施运行情况、环境保护行政许可执行情况、建设项目环境保护法律法规执行情况进行现场检查；参与全县环境污染事故、纠纷和生态破坏事件的调查处理工作；对各类排污对象环境违法行为调查处理。</w:t>
      </w:r>
    </w:p>
    <w:p w14:paraId="4BCAEBC9">
      <w:pPr>
        <w:keepNext w:val="0"/>
        <w:keepLines w:val="0"/>
        <w:pageBreakBefore w:val="0"/>
        <w:widowControl w:val="0"/>
        <w:kinsoku/>
        <w:wordWrap/>
        <w:overflowPunct w:val="0"/>
        <w:topLinePunct/>
        <w:autoSpaceDE/>
        <w:autoSpaceDN/>
        <w:bidi w:val="0"/>
        <w:adjustRightInd/>
        <w:snapToGrid w:val="0"/>
        <w:spacing w:after="0" w:line="590" w:lineRule="exact"/>
        <w:ind w:left="0" w:right="0" w:firstLine="640" w:firstLineChars="200"/>
        <w:jc w:val="both"/>
        <w:textAlignment w:val="auto"/>
        <w:rPr>
          <w:rFonts w:hint="eastAsia" w:ascii="Times New Roman" w:hAnsi="Times New Roman" w:eastAsia="黑体" w:cs="黑体"/>
          <w:kern w:val="0"/>
          <w:sz w:val="32"/>
          <w:szCs w:val="32"/>
        </w:rPr>
      </w:pPr>
      <w:r>
        <w:rPr>
          <w:rFonts w:hint="eastAsia" w:ascii="Times New Roman" w:hAnsi="Times New Roman" w:eastAsia="黑体" w:cs="黑体"/>
          <w:kern w:val="0"/>
          <w:sz w:val="32"/>
          <w:szCs w:val="32"/>
        </w:rPr>
        <w:t>五、项目实施内容</w:t>
      </w:r>
    </w:p>
    <w:p w14:paraId="39945729">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以习近平新时代中国特色社会主义思想为指导，全面贯彻党的二十大精神，牢牢守住发展和生态两条底线，持续提升全县生态环境监管精细化水平，以不断适应新时期环境监管执法工作面临的机遇和挑战，为深入打好污染防治攻坚战、推动改善生态环境质量、保障人民群众环境权益、促进经济社会高质量跨越式发展发挥执法队伍作用。</w:t>
      </w:r>
    </w:p>
    <w:p w14:paraId="460DF706">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楷体_GB2312" w:cs="楷体_GB2312"/>
          <w:sz w:val="32"/>
          <w:szCs w:val="32"/>
          <w:lang w:val="en-US" w:eastAsia="zh-CN"/>
        </w:rPr>
        <w:t>（一）强化生态环境执法监管。</w:t>
      </w:r>
      <w:r>
        <w:rPr>
          <w:rFonts w:hint="eastAsia" w:ascii="Times New Roman" w:hAnsi="Times New Roman" w:eastAsia="仿宋_GB2312" w:cs="仿宋_GB2312"/>
          <w:sz w:val="32"/>
          <w:szCs w:val="32"/>
          <w:lang w:val="en-US" w:eastAsia="zh-CN"/>
        </w:rPr>
        <w:t>规范执法和优化服务并重，让环境执法既有温度，又有深度，更有力度。持续推行重点企业排污许可“一证式”执法，全面落实“双随机、一公开”工作机制。落实行政执法公示、执法全过程记录、重大执法决定法制审核等“三项制度”。加强“两法”衔接，落实行政执法人员持证上岗和严格规范公正文明执法，加强“两法”衔接，完善信息互通、共享，案情通报和联合督办机制，严厉打击各类环境违法行为。</w:t>
      </w:r>
    </w:p>
    <w:p w14:paraId="45B8730C">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楷体_GB2312" w:cs="楷体_GB2312"/>
          <w:sz w:val="32"/>
          <w:szCs w:val="32"/>
          <w:lang w:val="en-US" w:eastAsia="zh-CN"/>
        </w:rPr>
        <w:t>（二）持续推进执法效能提升。</w:t>
      </w:r>
      <w:r>
        <w:rPr>
          <w:rFonts w:hint="eastAsia" w:ascii="Times New Roman" w:hAnsi="Times New Roman" w:eastAsia="仿宋_GB2312" w:cs="仿宋_GB2312"/>
          <w:sz w:val="32"/>
          <w:szCs w:val="32"/>
          <w:lang w:val="en-US" w:eastAsia="zh-CN"/>
        </w:rPr>
        <w:t>紧盯省市执法工作要点，完善工作计划，严格执法责任，优化执法方式，完善执法机制，规范执法行为，坚持法律法规教育与业务工作技能相结合、理论与实践相结合等方式，持续开展执法大练兵，通过强化岗位练兵、实战练兵、全员全过程练兵，组织开展联合执法、抽调参与专项执法等方式，推动执法能力和执法效能持续提升。</w:t>
      </w:r>
    </w:p>
    <w:p w14:paraId="49649CA6">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楷体_GB2312" w:cs="楷体_GB2312"/>
          <w:sz w:val="32"/>
          <w:szCs w:val="32"/>
          <w:lang w:val="en-US" w:eastAsia="zh-CN"/>
        </w:rPr>
        <w:t>（三）持续强化开展执法大练兵工作。</w:t>
      </w:r>
      <w:r>
        <w:rPr>
          <w:rFonts w:hint="eastAsia" w:ascii="Times New Roman" w:hAnsi="Times New Roman" w:eastAsia="仿宋_GB2312" w:cs="仿宋_GB2312"/>
          <w:sz w:val="32"/>
          <w:szCs w:val="32"/>
          <w:lang w:val="en-US" w:eastAsia="zh-CN"/>
        </w:rPr>
        <w:t>认真总结2024年生态环境执法大练兵工作开展情况，正确对待今年取得的成绩，正视存在的问题和不足，客观分析原因，认真思考解决问题的方法和措施，争取2025年生态环境执法大练兵工作中取得更加优异的成绩。</w:t>
      </w:r>
    </w:p>
    <w:p w14:paraId="7E56BDD6">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楷体_GB2312" w:cs="楷体_GB2312"/>
          <w:sz w:val="32"/>
          <w:szCs w:val="32"/>
          <w:lang w:val="en-US" w:eastAsia="zh-CN"/>
        </w:rPr>
        <w:t>（四）创新“双打”模式，提升执法效能。</w:t>
      </w:r>
      <w:r>
        <w:rPr>
          <w:rFonts w:hint="eastAsia" w:ascii="Times New Roman" w:hAnsi="Times New Roman" w:eastAsia="仿宋_GB2312" w:cs="仿宋_GB2312"/>
          <w:sz w:val="32"/>
          <w:szCs w:val="32"/>
          <w:lang w:val="en-US" w:eastAsia="zh-CN"/>
        </w:rPr>
        <w:t>在深入打击危险废物环境违法犯罪和重点排污单位自动监测数据弄虚作假违法犯罪专项行动工作中，进一步提高工作的积极性和主动性，确定重点方向和行业，加强分析研判，拓宽线索渠道，强化生态环境监管信息支撑，利用智慧监管手段，提升执法效能，</w:t>
      </w:r>
      <w:bookmarkStart w:id="0" w:name="hmcheck_53847323bcff480da6eb5cab40b57058"/>
      <w:r>
        <w:rPr>
          <w:rFonts w:hint="eastAsia" w:ascii="Times New Roman" w:hAnsi="Times New Roman" w:eastAsia="仿宋_GB2312" w:cs="仿宋_GB2312"/>
          <w:sz w:val="32"/>
          <w:szCs w:val="32"/>
          <w:shd w:val="clear" w:fill="FFFFFF"/>
          <w:lang w:val="en-US" w:eastAsia="zh-CN"/>
        </w:rPr>
        <w:t>防范化解环境风险</w:t>
      </w:r>
      <w:bookmarkEnd w:id="0"/>
      <w:r>
        <w:rPr>
          <w:rFonts w:hint="eastAsia" w:ascii="Times New Roman" w:hAnsi="Times New Roman" w:eastAsia="仿宋_GB2312" w:cs="仿宋_GB2312"/>
          <w:sz w:val="32"/>
          <w:szCs w:val="32"/>
          <w:lang w:val="en-US" w:eastAsia="zh-CN"/>
        </w:rPr>
        <w:t>。</w:t>
      </w:r>
    </w:p>
    <w:p w14:paraId="735B3644">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kern w:val="0"/>
          <w:sz w:val="32"/>
          <w:szCs w:val="32"/>
        </w:rPr>
      </w:pPr>
      <w:r>
        <w:rPr>
          <w:rFonts w:hint="eastAsia" w:ascii="Times New Roman" w:hAnsi="Times New Roman" w:eastAsia="黑体" w:cs="黑体"/>
          <w:kern w:val="0"/>
          <w:sz w:val="32"/>
          <w:szCs w:val="32"/>
        </w:rPr>
        <w:t>六、资金安排情况</w:t>
      </w:r>
    </w:p>
    <w:p w14:paraId="46739922">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2025年支出预计为660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000.00元，分别为：法律顾问费项目30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000.00元；执法租车费项目130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000.00元；执法办案差旅费项目：120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000.00元；执法办公经费项</w:t>
      </w:r>
      <w:bookmarkStart w:id="2" w:name="_GoBack"/>
      <w:bookmarkEnd w:id="2"/>
      <w:r>
        <w:rPr>
          <w:rFonts w:hint="eastAsia" w:ascii="Times New Roman" w:hAnsi="Times New Roman" w:eastAsia="仿宋_GB2312" w:cs="仿宋_GB2312"/>
          <w:sz w:val="32"/>
          <w:szCs w:val="32"/>
          <w:lang w:val="en-US" w:eastAsia="zh-CN"/>
        </w:rPr>
        <w:t>目20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000.00元；执法办案宣传培训经费项目10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000.00元；新平县乡镇饮用水水源保护区规范化建设250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000.00元；执法监测运行项目100</w:t>
      </w:r>
      <w:r>
        <w:rPr>
          <w:rFonts w:hint="eastAsia" w:ascii="Times New Roman" w:hAnsi="Times New Roman" w:eastAsia="仿宋_GB2312" w:cs="Times New Roman"/>
          <w:kern w:val="0"/>
          <w:sz w:val="32"/>
          <w:szCs w:val="32"/>
          <w:highlight w:val="none"/>
          <w:lang w:val="en-US" w:eastAsia="zh-CN"/>
        </w:rPr>
        <w:t>,</w:t>
      </w:r>
      <w:r>
        <w:rPr>
          <w:rFonts w:hint="eastAsia" w:ascii="Times New Roman" w:hAnsi="Times New Roman" w:eastAsia="仿宋_GB2312" w:cs="仿宋_GB2312"/>
          <w:sz w:val="32"/>
          <w:szCs w:val="32"/>
          <w:lang w:val="en-US" w:eastAsia="zh-CN"/>
        </w:rPr>
        <w:t>000.00元。</w:t>
      </w:r>
    </w:p>
    <w:p w14:paraId="5DC0196A">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kern w:val="0"/>
          <w:sz w:val="32"/>
          <w:szCs w:val="32"/>
        </w:rPr>
      </w:pPr>
      <w:r>
        <w:rPr>
          <w:rFonts w:hint="eastAsia" w:ascii="Times New Roman" w:hAnsi="Times New Roman" w:eastAsia="黑体" w:cs="黑体"/>
          <w:kern w:val="0"/>
          <w:sz w:val="32"/>
          <w:szCs w:val="32"/>
        </w:rPr>
        <w:t>七、项目实施计划</w:t>
      </w:r>
    </w:p>
    <w:p w14:paraId="54F80F90">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全面部署2025年环境监察执法要点，全面动员各科室，结合“双随机</w:t>
      </w:r>
      <w:bookmarkStart w:id="1" w:name="hmcheck_608de04e120c487da90468f301328471"/>
      <w:r>
        <w:rPr>
          <w:rFonts w:hint="eastAsia" w:ascii="Times New Roman" w:hAnsi="Times New Roman" w:eastAsia="仿宋_GB2312" w:cs="仿宋_GB2312"/>
          <w:sz w:val="32"/>
          <w:szCs w:val="32"/>
          <w:shd w:val="clear" w:fill="FFFFFF"/>
          <w:lang w:val="en-US" w:eastAsia="zh-CN"/>
        </w:rPr>
        <w:t>”、“</w:t>
      </w:r>
      <w:bookmarkEnd w:id="1"/>
      <w:r>
        <w:rPr>
          <w:rFonts w:hint="eastAsia" w:ascii="Times New Roman" w:hAnsi="Times New Roman" w:eastAsia="仿宋_GB2312" w:cs="仿宋_GB2312"/>
          <w:sz w:val="32"/>
          <w:szCs w:val="32"/>
          <w:lang w:val="en-US" w:eastAsia="zh-CN"/>
        </w:rPr>
        <w:t>网格化”、工业污染源全面达标排放计划、各类环境保护执法专项行动、中央生态环境保护督察、</w:t>
      </w:r>
      <w:r>
        <w:rPr>
          <w:rFonts w:hint="eastAsia" w:ascii="Times New Roman" w:hAnsi="Times New Roman" w:eastAsia="仿宋_GB2312" w:cs="仿宋_GB2312"/>
          <w:sz w:val="32"/>
          <w:szCs w:val="32"/>
          <w:shd w:val="clear" w:fill="FFFFFF"/>
          <w:lang w:val="en-US" w:eastAsia="zh-CN"/>
        </w:rPr>
        <w:t>省级生态</w:t>
      </w:r>
      <w:r>
        <w:rPr>
          <w:rFonts w:hint="eastAsia" w:ascii="Times New Roman" w:hAnsi="Times New Roman" w:eastAsia="仿宋_GB2312" w:cs="仿宋_GB2312"/>
          <w:sz w:val="32"/>
          <w:szCs w:val="32"/>
          <w:lang w:val="en-US" w:eastAsia="zh-CN"/>
        </w:rPr>
        <w:t>环境保护督察反馈问题整改等工作，在总结2024年环境监察执法工作基础上，针对环境执法存在的突出问题，根据2025年监察要点要求，制定具体实施方案，完成环境执法办案动员部署工作。</w:t>
      </w:r>
    </w:p>
    <w:p w14:paraId="58142A95">
      <w:pPr>
        <w:pStyle w:val="3"/>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八、项目实施成效</w:t>
      </w:r>
    </w:p>
    <w:p w14:paraId="6DE685AF">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以习近平生态文明思想为指导，深入贯彻落实党的二十届三中全会精神，以县域生态环境质量持续改善为目标，以生态环境保护督察反馈问题整改和深入打好污染防治攻坚战为抓手，坚持绿色发展，推动绿色转型升级，以高品质生态环境支撑经济社会高质量发展，为全面推进美丽新平建设新征程夯实基础。该项目</w:t>
      </w:r>
      <w:r>
        <w:rPr>
          <w:rFonts w:hint="default" w:ascii="Times New Roman" w:hAnsi="Times New Roman" w:eastAsia="仿宋_GB2312" w:cs="仿宋_GB2312"/>
          <w:sz w:val="32"/>
          <w:szCs w:val="32"/>
          <w:lang w:val="en-US" w:eastAsia="zh-CN"/>
        </w:rPr>
        <w:t>实施预期</w:t>
      </w:r>
      <w:r>
        <w:rPr>
          <w:rFonts w:hint="eastAsia" w:ascii="Times New Roman" w:hAnsi="Times New Roman" w:eastAsia="仿宋_GB2312" w:cs="仿宋_GB2312"/>
          <w:sz w:val="32"/>
          <w:szCs w:val="32"/>
          <w:lang w:val="en-US" w:eastAsia="zh-CN"/>
        </w:rPr>
        <w:t>可完成“双随机”抽查企业家次</w:t>
      </w:r>
      <w:r>
        <w:rPr>
          <w:rFonts w:hint="default" w:ascii="Times New Roman" w:hAnsi="Times New Roman" w:eastAsia="仿宋_GB2312" w:cs="仿宋_GB2312"/>
          <w:sz w:val="32"/>
          <w:szCs w:val="32"/>
          <w:lang w:val="en-US" w:eastAsia="zh-CN"/>
        </w:rPr>
        <w:t>≥</w:t>
      </w:r>
      <w:r>
        <w:rPr>
          <w:rFonts w:hint="eastAsia" w:ascii="Times New Roman" w:hAnsi="Times New Roman" w:eastAsia="仿宋_GB2312" w:cs="仿宋_GB2312"/>
          <w:sz w:val="32"/>
          <w:szCs w:val="32"/>
          <w:lang w:val="en-US" w:eastAsia="zh-CN"/>
        </w:rPr>
        <w:t>100次，环境污染举报投诉件办结率=100.00%，城市空气质量优良天数比例</w:t>
      </w:r>
      <w:r>
        <w:rPr>
          <w:rFonts w:hint="default" w:ascii="Times New Roman" w:hAnsi="Times New Roman" w:eastAsia="仿宋_GB2312" w:cs="仿宋_GB2312"/>
          <w:sz w:val="32"/>
          <w:szCs w:val="32"/>
          <w:lang w:val="en-US" w:eastAsia="zh-CN"/>
        </w:rPr>
        <w:t>≥</w:t>
      </w:r>
      <w:r>
        <w:rPr>
          <w:rFonts w:hint="eastAsia" w:ascii="Times New Roman" w:hAnsi="Times New Roman" w:eastAsia="仿宋_GB2312" w:cs="仿宋_GB2312"/>
          <w:sz w:val="32"/>
          <w:szCs w:val="32"/>
          <w:lang w:val="en-US" w:eastAsia="zh-CN"/>
        </w:rPr>
        <w:t>98.50%，监督检查对象满意度</w:t>
      </w:r>
      <w:r>
        <w:rPr>
          <w:rFonts w:hint="default" w:ascii="Times New Roman" w:hAnsi="Times New Roman" w:eastAsia="仿宋_GB2312" w:cs="仿宋_GB2312"/>
          <w:sz w:val="32"/>
          <w:szCs w:val="32"/>
          <w:lang w:val="en-US" w:eastAsia="zh-CN"/>
        </w:rPr>
        <w:t>≥</w:t>
      </w:r>
      <w:r>
        <w:rPr>
          <w:rFonts w:hint="eastAsia" w:ascii="Times New Roman" w:hAnsi="Times New Roman" w:eastAsia="仿宋_GB2312" w:cs="仿宋_GB2312"/>
          <w:sz w:val="32"/>
          <w:szCs w:val="32"/>
          <w:lang w:val="en-US" w:eastAsia="zh-CN"/>
        </w:rPr>
        <w:t>80.00%。</w:t>
      </w:r>
    </w:p>
    <w:p w14:paraId="7DD2A488">
      <w:pPr>
        <w:keepNext w:val="0"/>
        <w:keepLines w:val="0"/>
        <w:pageBreakBefore w:val="0"/>
        <w:widowControl w:val="0"/>
        <w:kinsoku/>
        <w:wordWrap/>
        <w:overflowPunct w:val="0"/>
        <w:topLinePunct/>
        <w:autoSpaceDE/>
        <w:autoSpaceDN/>
        <w:bidi w:val="0"/>
        <w:adjustRightInd w:val="0"/>
        <w:snapToGrid w:val="0"/>
        <w:spacing w:line="590" w:lineRule="exact"/>
        <w:ind w:left="0" w:leftChars="0" w:firstLine="640" w:firstLineChars="200"/>
        <w:jc w:val="both"/>
        <w:textAlignment w:val="auto"/>
        <w:rPr>
          <w:rFonts w:ascii="Times New Roman" w:hAnsi="Times New Roman"/>
        </w:rPr>
      </w:pPr>
      <w:r>
        <w:rPr>
          <w:rFonts w:hint="eastAsia" w:ascii="Times New Roman" w:hAnsi="Times New Roman" w:eastAsia="仿宋_GB2312" w:cs="仿宋_GB2312"/>
          <w:sz w:val="32"/>
          <w:szCs w:val="32"/>
          <w:lang w:val="en-US" w:eastAsia="zh-CN"/>
        </w:rPr>
        <w:t>执法办案经费补助是为了更有力地打击环境违法行为，监督辖区内的排污企业，解决好群众投诉、信访、12369网络举报及上级转办件、污染源自动监控系统管理工作，保障人民群众环境权益的重点工作。各股室必须通力协作，发挥主观能动性，增强大局意识、责任意识，通过执法办案提升执法积极性和队伍凝聚力，提高环境执法队伍整体依法行政的意识和能力；不断加大环境执法力度，持续推动环境保护法律法规的贯彻落实；全面提升立案、调查取证、审查和认定、听证和告知、制作并下达处罚决定书、信息公开和报送等各环节的合法性和合规性，夯实执法基础。</w:t>
      </w:r>
    </w:p>
    <w:sectPr>
      <w:footerReference r:id="rId3" w:type="default"/>
      <w:footerReference r:id="rId4" w:type="even"/>
      <w:pgSz w:w="11906" w:h="16838"/>
      <w:pgMar w:top="2041" w:right="1474" w:bottom="1304" w:left="1587" w:header="1361" w:footer="1191"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F3DC8">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430213A">
                          <w:pPr>
                            <w:pStyle w:val="7"/>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14:paraId="4430213A">
                    <w:pPr>
                      <w:pStyle w:val="7"/>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14570">
    <w:pPr>
      <w:pStyle w:val="7"/>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C7D5B2">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9C7D5B2">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1"/>
  <w:bordersDoNotSurroundFooter w:val="1"/>
  <w:documentProtection w:enforcement="0"/>
  <w:defaultTabStop w:val="420"/>
  <w:evenAndOddHeaders w:val="1"/>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I4ZTEyM2VmMWZiMTYxZTUwYzdhNjhjYTY0ZGFhNjUifQ=="/>
  </w:docVars>
  <w:rsids>
    <w:rsidRoot w:val="75086D70"/>
    <w:rsid w:val="00332122"/>
    <w:rsid w:val="00411CA3"/>
    <w:rsid w:val="004B2B21"/>
    <w:rsid w:val="005D2389"/>
    <w:rsid w:val="01361389"/>
    <w:rsid w:val="01527EDF"/>
    <w:rsid w:val="01D75AF9"/>
    <w:rsid w:val="03125B78"/>
    <w:rsid w:val="05141E8A"/>
    <w:rsid w:val="09420839"/>
    <w:rsid w:val="0EFD1C24"/>
    <w:rsid w:val="10D21D81"/>
    <w:rsid w:val="144858CA"/>
    <w:rsid w:val="16ED6288"/>
    <w:rsid w:val="19540841"/>
    <w:rsid w:val="1A9C7FB8"/>
    <w:rsid w:val="1ACD2659"/>
    <w:rsid w:val="1BCF0653"/>
    <w:rsid w:val="1F71167A"/>
    <w:rsid w:val="20CD797C"/>
    <w:rsid w:val="22A32595"/>
    <w:rsid w:val="256736AA"/>
    <w:rsid w:val="280F2367"/>
    <w:rsid w:val="28425D08"/>
    <w:rsid w:val="29037B8D"/>
    <w:rsid w:val="2D0A2FE3"/>
    <w:rsid w:val="2D0C4C13"/>
    <w:rsid w:val="2E600E92"/>
    <w:rsid w:val="2E784B84"/>
    <w:rsid w:val="341355AB"/>
    <w:rsid w:val="34C040C2"/>
    <w:rsid w:val="37891F0E"/>
    <w:rsid w:val="378D415E"/>
    <w:rsid w:val="398D772B"/>
    <w:rsid w:val="3C12439A"/>
    <w:rsid w:val="3D1E5097"/>
    <w:rsid w:val="3E6742CE"/>
    <w:rsid w:val="40954A68"/>
    <w:rsid w:val="414138C3"/>
    <w:rsid w:val="46981A87"/>
    <w:rsid w:val="48484B78"/>
    <w:rsid w:val="4900334A"/>
    <w:rsid w:val="4940229B"/>
    <w:rsid w:val="4C5B7215"/>
    <w:rsid w:val="4CF11927"/>
    <w:rsid w:val="50D922EB"/>
    <w:rsid w:val="53213917"/>
    <w:rsid w:val="57381315"/>
    <w:rsid w:val="57644E04"/>
    <w:rsid w:val="5BC24AF9"/>
    <w:rsid w:val="609C40AF"/>
    <w:rsid w:val="614478C4"/>
    <w:rsid w:val="6686465C"/>
    <w:rsid w:val="68451E97"/>
    <w:rsid w:val="69BD2E65"/>
    <w:rsid w:val="6BB52E3E"/>
    <w:rsid w:val="6C8253AF"/>
    <w:rsid w:val="6DF87AF7"/>
    <w:rsid w:val="719B1CDE"/>
    <w:rsid w:val="74270209"/>
    <w:rsid w:val="74771802"/>
    <w:rsid w:val="748B346C"/>
    <w:rsid w:val="74B6493A"/>
    <w:rsid w:val="75086D70"/>
    <w:rsid w:val="75AF5D58"/>
    <w:rsid w:val="77FE5B18"/>
    <w:rsid w:val="79221CC8"/>
    <w:rsid w:val="7A796935"/>
    <w:rsid w:val="7B607AF4"/>
    <w:rsid w:val="7B6A3018"/>
    <w:rsid w:val="7C8B14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 w:type="paragraph" w:styleId="3">
    <w:name w:val="Normal Indent"/>
    <w:basedOn w:val="1"/>
    <w:next w:val="1"/>
    <w:qFormat/>
    <w:uiPriority w:val="0"/>
    <w:pPr>
      <w:ind w:firstLine="420" w:firstLineChars="200"/>
    </w:pPr>
    <w:rPr>
      <w:rFonts w:ascii="Calibri" w:hAnsi="Calibri"/>
    </w:rPr>
  </w:style>
  <w:style w:type="paragraph" w:styleId="4">
    <w:name w:val="annotation text"/>
    <w:basedOn w:val="1"/>
    <w:qFormat/>
    <w:uiPriority w:val="0"/>
    <w:pPr>
      <w:jc w:val="left"/>
    </w:pPr>
  </w:style>
  <w:style w:type="paragraph" w:styleId="5">
    <w:name w:val="Body Text"/>
    <w:basedOn w:val="1"/>
    <w:qFormat/>
    <w:uiPriority w:val="0"/>
    <w:pPr>
      <w:spacing w:line="360" w:lineRule="auto"/>
      <w:ind w:firstLine="0" w:firstLineChars="0"/>
    </w:pPr>
    <w:rPr>
      <w:rFonts w:ascii="Calibri" w:hAnsi="Calibri" w:eastAsia="Calibri Light" w:cs="Times New Roman"/>
      <w:sz w:val="32"/>
      <w:szCs w:val="24"/>
    </w:rPr>
  </w:style>
  <w:style w:type="paragraph" w:styleId="6">
    <w:name w:val="Body Text Indent"/>
    <w:basedOn w:val="1"/>
    <w:qFormat/>
    <w:uiPriority w:val="99"/>
    <w:pPr>
      <w:ind w:left="1" w:firstLine="840" w:firstLineChars="300"/>
    </w:pPr>
    <w:rPr>
      <w:rFonts w:eastAsia="仿宋_GB2312"/>
      <w:sz w:val="2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Body Text First Indent 2"/>
    <w:basedOn w:val="6"/>
    <w:next w:val="1"/>
    <w:unhideWhenUsed/>
    <w:qFormat/>
    <w:uiPriority w:val="99"/>
    <w:pPr>
      <w:spacing w:before="100" w:beforeAutospacing="1" w:after="0"/>
      <w:ind w:firstLine="420" w:firstLineChars="200"/>
    </w:pPr>
  </w:style>
  <w:style w:type="paragraph" w:customStyle="1" w:styleId="12">
    <w:name w:val="正文文本1"/>
    <w:basedOn w:val="1"/>
    <w:qFormat/>
    <w:uiPriority w:val="0"/>
    <w:pPr>
      <w:shd w:val="clear" w:color="auto" w:fill="FFFFFF"/>
      <w:spacing w:line="403" w:lineRule="auto"/>
      <w:ind w:firstLine="400"/>
    </w:pPr>
    <w:rPr>
      <w:rFonts w:ascii="MingLiU" w:hAnsi="MingLiU" w:eastAsia="MingLiU" w:cs="MingLiU"/>
      <w:sz w:val="28"/>
      <w:szCs w:val="28"/>
      <w:lang w:val="zh-CN" w:bidi="zh-CN"/>
    </w:rPr>
  </w:style>
  <w:style w:type="paragraph" w:customStyle="1" w:styleId="13">
    <w:name w:val="Normal"/>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玉溪市新平县党政机关单位</Company>
  <Pages>5</Pages>
  <Words>2105</Words>
  <Characters>2226</Characters>
  <Lines>17</Lines>
  <Paragraphs>4</Paragraphs>
  <TotalTime>0</TotalTime>
  <ScaleCrop>false</ScaleCrop>
  <LinksUpToDate>false</LinksUpToDate>
  <CharactersWithSpaces>2228</CharactersWithSpaces>
  <Application>WPS Office_12.1.0.17145_F1E327BC-269C-435d-A152-05C5408002CA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2022-02-21T03:19:00Z</dcterms:created>
  <dc:creator>lenovo</dc:creator>
  <cp:lastModifiedBy>乔木</cp:lastModifiedBy>
  <dcterms:modified xsi:type="dcterms:W3CDTF">2025-02-20T02:44:33Z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2052-12.1.0.17145</vt:lpwstr>
  </property>
  <property fmtid="{D5CDD505-2E9C-101B-9397-08002B2CF9AE}" pid="3" name="ICV">
    <vt:lpwstr>4D79D1CD792447008F4459D57D07B5A0_13</vt:lpwstr>
  </property>
  <property fmtid="{D5CDD505-2E9C-101B-9397-08002B2CF9AE}" pid="4" name="KSOTemplateDocerSaveRecord">
    <vt:lpwstr>eyJoZGlkIjoiMjdmMjRiNjA4N2JhNGRiOTczYmExNzJhM2Y3MjE0MDIiLCJ1c2VySWQiOiIxNTEyNjUyMjI3In0=</vt:lpwstr>
  </property>
  <property fmtid="{D5CDD505-2E9C-101B-9397-08002B2CF9AE}" pid="5" name="hmcheck_markmode">
    <vt:i4>0</vt:i4>
  </property>
  <property fmtid="{D5CDD505-2E9C-101B-9397-08002B2CF9AE}" pid="6" name="hmcheck_taskpanetype">
    <vt:i4>1</vt:i4>
  </property>
  <property fmtid="{D5CDD505-2E9C-101B-9397-08002B2CF9AE}" pid="7" name="hmcheck_result_53847323bcff480da6eb5cab40b57058_errorword">
    <vt:lpwstr>防范化解环境风险</vt:lpwstr>
  </property>
  <property fmtid="{D5CDD505-2E9C-101B-9397-08002B2CF9AE}" pid="8" name="hmcheck_result_53847323bcff480da6eb5cab40b57058_correctwords">
    <vt:lpwstr>["防范化解重大风险"]</vt:lpwstr>
  </property>
  <property fmtid="{D5CDD505-2E9C-101B-9397-08002B2CF9AE}" pid="9" name="hmcheck_result_53847323bcff480da6eb5cab40b57058_level">
    <vt:i4>1</vt:i4>
  </property>
  <property fmtid="{D5CDD505-2E9C-101B-9397-08002B2CF9AE}" pid="10" name="hmcheck_result_53847323bcff480da6eb5cab40b57058_type">
    <vt:i4>0</vt:i4>
  </property>
  <property fmtid="{D5CDD505-2E9C-101B-9397-08002B2CF9AE}" pid="11" name="hmcheck_result_53847323bcff480da6eb5cab40b57058_modifiedtype">
    <vt:i4>1</vt:i4>
  </property>
  <property fmtid="{D5CDD505-2E9C-101B-9397-08002B2CF9AE}" pid="12" name="hmcheck_result_608de04e120c487da90468f301328471_errorword">
    <vt:lpwstr>”、“</vt:lpwstr>
  </property>
  <property fmtid="{D5CDD505-2E9C-101B-9397-08002B2CF9AE}" pid="13" name="hmcheck_result_608de04e120c487da90468f301328471_correctwords">
    <vt:lpwstr>["”“"]</vt:lpwstr>
  </property>
  <property fmtid="{D5CDD505-2E9C-101B-9397-08002B2CF9AE}" pid="14" name="hmcheck_result_608de04e120c487da90468f301328471_errordescription">
    <vt:lpwstr>多个书名号或双引号间不添加额外标点</vt:lpwstr>
  </property>
  <property fmtid="{D5CDD505-2E9C-101B-9397-08002B2CF9AE}" pid="15" name="hmcheck_result_608de04e120c487da90468f301328471_level">
    <vt:i4>1</vt:i4>
  </property>
  <property fmtid="{D5CDD505-2E9C-101B-9397-08002B2CF9AE}" pid="16" name="hmcheck_result_608de04e120c487da90468f301328471_type">
    <vt:i4>1</vt:i4>
  </property>
  <property fmtid="{D5CDD505-2E9C-101B-9397-08002B2CF9AE}" pid="17" name="hmcheck_result_608de04e120c487da90468f301328471_modifiedtype">
    <vt:i4>1</vt:i4>
  </property>
</Properties>
</file>